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1E0" w:firstRow="1" w:lastRow="1" w:firstColumn="1" w:lastColumn="1" w:noHBand="0" w:noVBand="0"/>
      </w:tblPr>
      <w:tblGrid>
        <w:gridCol w:w="3536"/>
        <w:gridCol w:w="3354"/>
        <w:gridCol w:w="2171"/>
      </w:tblGrid>
      <w:tr w:rsidR="00D553E8" w14:paraId="48FBD68E" w14:textId="77777777" w:rsidTr="00D553E8">
        <w:trPr>
          <w:tblHeader/>
        </w:trPr>
        <w:tc>
          <w:tcPr>
            <w:tcW w:w="1951" w:type="pct"/>
          </w:tcPr>
          <w:p w14:paraId="220CB57D" w14:textId="77777777" w:rsidR="00D553E8" w:rsidRDefault="00D553E8">
            <w:pPr>
              <w:rPr>
                <w:b/>
              </w:rPr>
            </w:pPr>
            <w:r>
              <w:rPr>
                <w:b/>
              </w:rPr>
              <w:t>Function</w:t>
            </w:r>
          </w:p>
        </w:tc>
        <w:tc>
          <w:tcPr>
            <w:tcW w:w="1851" w:type="pct"/>
          </w:tcPr>
          <w:p w14:paraId="5C9B48D6" w14:textId="77777777" w:rsidR="00D553E8" w:rsidRDefault="00D553E8">
            <w:pPr>
              <w:rPr>
                <w:b/>
              </w:rPr>
            </w:pPr>
            <w:r>
              <w:rPr>
                <w:b/>
              </w:rPr>
              <w:t>Activity</w:t>
            </w:r>
          </w:p>
        </w:tc>
        <w:tc>
          <w:tcPr>
            <w:tcW w:w="1198" w:type="pct"/>
          </w:tcPr>
          <w:p w14:paraId="38FC7AB2" w14:textId="77777777" w:rsidR="00D553E8" w:rsidRDefault="00D553E8">
            <w:pPr>
              <w:rPr>
                <w:b/>
              </w:rPr>
            </w:pPr>
            <w:r>
              <w:rPr>
                <w:b/>
              </w:rPr>
              <w:t>Page</w:t>
            </w:r>
          </w:p>
        </w:tc>
      </w:tr>
      <w:tr w:rsidR="00D553E8" w14:paraId="71F53C08" w14:textId="77777777" w:rsidTr="00D553E8">
        <w:tc>
          <w:tcPr>
            <w:tcW w:w="1951" w:type="pct"/>
          </w:tcPr>
          <w:p w14:paraId="0062E1E7" w14:textId="460C821A" w:rsidR="00D553E8" w:rsidRDefault="00733134">
            <w:hyperlink w:anchor="id8011006" w:tooltip="COMMITTEES" w:history="1">
              <w:r w:rsidR="00D553E8">
                <w:t>COMMITTEES</w:t>
              </w:r>
            </w:hyperlink>
          </w:p>
        </w:tc>
        <w:tc>
          <w:tcPr>
            <w:tcW w:w="1851" w:type="pct"/>
          </w:tcPr>
          <w:p w14:paraId="6C810600" w14:textId="77777777" w:rsidR="00D553E8" w:rsidRDefault="00D553E8"/>
        </w:tc>
        <w:tc>
          <w:tcPr>
            <w:tcW w:w="1198" w:type="pct"/>
          </w:tcPr>
          <w:p w14:paraId="465625CE" w14:textId="275BAB4C" w:rsidR="00D553E8" w:rsidRDefault="00733134">
            <w:r>
              <w:fldChar w:fldCharType="begin"/>
            </w:r>
            <w:r>
              <w:instrText xml:space="preserve"> PAGEREF  id8011006  \* MERGEFORMAT </w:instrText>
            </w:r>
            <w:r>
              <w:fldChar w:fldCharType="separate"/>
            </w:r>
            <w:r w:rsidR="00D553E8">
              <w:rPr>
                <w:noProof/>
              </w:rPr>
              <w:t>2</w:t>
            </w:r>
            <w:r>
              <w:rPr>
                <w:noProof/>
              </w:rPr>
              <w:fldChar w:fldCharType="end"/>
            </w:r>
          </w:p>
        </w:tc>
      </w:tr>
      <w:tr w:rsidR="00D553E8" w14:paraId="6D29350B" w14:textId="77777777" w:rsidTr="00D553E8">
        <w:tc>
          <w:tcPr>
            <w:tcW w:w="1951" w:type="pct"/>
          </w:tcPr>
          <w:p w14:paraId="09AC191A" w14:textId="4BFF64D3" w:rsidR="00D553E8" w:rsidRDefault="00D553E8">
            <w:r>
              <w:t>COMMUNITY RELATIONS</w:t>
            </w:r>
          </w:p>
        </w:tc>
        <w:tc>
          <w:tcPr>
            <w:tcW w:w="1851" w:type="pct"/>
          </w:tcPr>
          <w:p w14:paraId="2A4BA96D" w14:textId="2B8C6943" w:rsidR="00D553E8" w:rsidRDefault="00D553E8">
            <w:r>
              <w:t>Customer service</w:t>
            </w:r>
          </w:p>
        </w:tc>
        <w:tc>
          <w:tcPr>
            <w:tcW w:w="1198" w:type="pct"/>
          </w:tcPr>
          <w:p w14:paraId="713A85BA" w14:textId="3A6FD52B" w:rsidR="00D553E8" w:rsidRDefault="00D553E8">
            <w:r>
              <w:t>3</w:t>
            </w:r>
          </w:p>
        </w:tc>
      </w:tr>
      <w:tr w:rsidR="00D553E8" w14:paraId="75AEEE71" w14:textId="77777777" w:rsidTr="00D553E8">
        <w:tc>
          <w:tcPr>
            <w:tcW w:w="1951" w:type="pct"/>
          </w:tcPr>
          <w:p w14:paraId="680CE3D5" w14:textId="300DF4AF" w:rsidR="00D553E8" w:rsidRDefault="00733134">
            <w:hyperlink w:anchor="id8011127" w:tooltip="GOVERNING AND CORPORATE BODIES" w:history="1">
              <w:r w:rsidR="00D553E8">
                <w:t>GOVERNING AND CORPORATE BODIES</w:t>
              </w:r>
            </w:hyperlink>
          </w:p>
        </w:tc>
        <w:tc>
          <w:tcPr>
            <w:tcW w:w="1851" w:type="pct"/>
          </w:tcPr>
          <w:p w14:paraId="518D55FE" w14:textId="67819578" w:rsidR="00D553E8" w:rsidRDefault="00733134">
            <w:hyperlink w:anchor="id8011198" w:tooltip="Meetings" w:history="1">
              <w:r w:rsidR="00D553E8">
                <w:t>Meetings</w:t>
              </w:r>
            </w:hyperlink>
          </w:p>
        </w:tc>
        <w:tc>
          <w:tcPr>
            <w:tcW w:w="1198" w:type="pct"/>
          </w:tcPr>
          <w:p w14:paraId="5794773B" w14:textId="3E835528" w:rsidR="00D553E8" w:rsidRDefault="00D553E8">
            <w:r>
              <w:t>4</w:t>
            </w:r>
          </w:p>
        </w:tc>
      </w:tr>
      <w:tr w:rsidR="00D553E8" w14:paraId="0866A087" w14:textId="77777777" w:rsidTr="00D553E8">
        <w:tc>
          <w:tcPr>
            <w:tcW w:w="1951" w:type="pct"/>
          </w:tcPr>
          <w:p w14:paraId="4A3996EE" w14:textId="45325E82" w:rsidR="00D553E8" w:rsidRDefault="00733134">
            <w:hyperlink w:anchor="id8011268" w:tooltip="INFORMATION MANAGEMENT" w:history="1">
              <w:r w:rsidR="00D553E8">
                <w:t>INFORMATION MANAGEMENT</w:t>
              </w:r>
            </w:hyperlink>
          </w:p>
        </w:tc>
        <w:tc>
          <w:tcPr>
            <w:tcW w:w="1851" w:type="pct"/>
          </w:tcPr>
          <w:p w14:paraId="1E6002D4" w14:textId="47C37B2F" w:rsidR="00D553E8" w:rsidRDefault="00733134">
            <w:hyperlink w:anchor="id8011238" w:tooltip="Control" w:history="1">
              <w:r w:rsidR="00A72177">
                <w:t>Control</w:t>
              </w:r>
            </w:hyperlink>
          </w:p>
        </w:tc>
        <w:tc>
          <w:tcPr>
            <w:tcW w:w="1198" w:type="pct"/>
          </w:tcPr>
          <w:p w14:paraId="4D491991" w14:textId="69582198" w:rsidR="00D553E8" w:rsidRDefault="00733134">
            <w:r>
              <w:fldChar w:fldCharType="begin"/>
            </w:r>
            <w:r>
              <w:instrText xml:space="preserve"> PAGEREF  id8011268  \* MERGEFORMAT </w:instrText>
            </w:r>
            <w:r>
              <w:fldChar w:fldCharType="separate"/>
            </w:r>
            <w:r w:rsidR="00D553E8">
              <w:rPr>
                <w:noProof/>
              </w:rPr>
              <w:t>5</w:t>
            </w:r>
            <w:r>
              <w:rPr>
                <w:noProof/>
              </w:rPr>
              <w:fldChar w:fldCharType="end"/>
            </w:r>
          </w:p>
        </w:tc>
      </w:tr>
      <w:tr w:rsidR="00D553E8" w14:paraId="54AC776F" w14:textId="77777777" w:rsidTr="00D553E8">
        <w:tc>
          <w:tcPr>
            <w:tcW w:w="1951" w:type="pct"/>
          </w:tcPr>
          <w:p w14:paraId="64290E24" w14:textId="77777777" w:rsidR="00D553E8" w:rsidRDefault="00D553E8"/>
        </w:tc>
        <w:tc>
          <w:tcPr>
            <w:tcW w:w="1851" w:type="pct"/>
          </w:tcPr>
          <w:p w14:paraId="161076A3" w14:textId="52E77972" w:rsidR="00D553E8" w:rsidRDefault="00A72177">
            <w:r>
              <w:t>Customer service</w:t>
            </w:r>
          </w:p>
        </w:tc>
        <w:tc>
          <w:tcPr>
            <w:tcW w:w="1198" w:type="pct"/>
          </w:tcPr>
          <w:p w14:paraId="0173DB30" w14:textId="7A5FFC78" w:rsidR="00D553E8" w:rsidRDefault="00733134">
            <w:r>
              <w:fldChar w:fldCharType="begin"/>
            </w:r>
            <w:r>
              <w:instrText xml:space="preserve"> PAGEREF  id8011238  \* MERGEFORMAT </w:instrText>
            </w:r>
            <w:r>
              <w:fldChar w:fldCharType="separate"/>
            </w:r>
            <w:r w:rsidR="00D553E8">
              <w:rPr>
                <w:noProof/>
              </w:rPr>
              <w:t>5</w:t>
            </w:r>
            <w:r>
              <w:rPr>
                <w:noProof/>
              </w:rPr>
              <w:fldChar w:fldCharType="end"/>
            </w:r>
          </w:p>
        </w:tc>
      </w:tr>
      <w:tr w:rsidR="00D553E8" w14:paraId="4ADA9E06" w14:textId="77777777" w:rsidTr="00D553E8">
        <w:tc>
          <w:tcPr>
            <w:tcW w:w="1951" w:type="pct"/>
          </w:tcPr>
          <w:p w14:paraId="776EC399" w14:textId="06F49964" w:rsidR="00D553E8" w:rsidRDefault="00733134">
            <w:hyperlink w:anchor="id8009281" w:tooltip="PERSONNEL" w:history="1">
              <w:r w:rsidR="00D553E8">
                <w:t>PERSONNEL</w:t>
              </w:r>
            </w:hyperlink>
          </w:p>
        </w:tc>
        <w:tc>
          <w:tcPr>
            <w:tcW w:w="1851" w:type="pct"/>
          </w:tcPr>
          <w:p w14:paraId="6F52CDEC" w14:textId="7E8E301F" w:rsidR="00D553E8" w:rsidRDefault="00733134">
            <w:hyperlink w:anchor="id8009318" w:tooltip="Employee service history" w:history="1">
              <w:r w:rsidR="00A72177">
                <w:t>Employee service history</w:t>
              </w:r>
            </w:hyperlink>
          </w:p>
        </w:tc>
        <w:tc>
          <w:tcPr>
            <w:tcW w:w="1198" w:type="pct"/>
          </w:tcPr>
          <w:p w14:paraId="25A1CA4C" w14:textId="61445C79" w:rsidR="00D553E8" w:rsidRDefault="00A72177">
            <w:r>
              <w:t>6</w:t>
            </w:r>
          </w:p>
        </w:tc>
      </w:tr>
      <w:tr w:rsidR="00D553E8" w14:paraId="7C67A8C6" w14:textId="77777777" w:rsidTr="00D553E8">
        <w:tc>
          <w:tcPr>
            <w:tcW w:w="1951" w:type="pct"/>
          </w:tcPr>
          <w:p w14:paraId="74EEC78A" w14:textId="65A6ECCC" w:rsidR="00D553E8" w:rsidRDefault="00733134">
            <w:hyperlink w:anchor="id8010074" w:tooltip="STRATEGIC MANAGEMENT" w:history="1">
              <w:r w:rsidR="00D553E8">
                <w:t>STRATEGIC MANAGEMENT</w:t>
              </w:r>
            </w:hyperlink>
          </w:p>
        </w:tc>
        <w:tc>
          <w:tcPr>
            <w:tcW w:w="1851" w:type="pct"/>
          </w:tcPr>
          <w:p w14:paraId="0769E94E" w14:textId="31EA580D" w:rsidR="00D553E8" w:rsidRDefault="00733134">
            <w:hyperlink w:anchor="id8010088" w:tooltip="Grant funding &amp; allocation" w:history="1">
              <w:r w:rsidR="00A72177">
                <w:t>Grant funding &amp; allocation</w:t>
              </w:r>
            </w:hyperlink>
          </w:p>
        </w:tc>
        <w:tc>
          <w:tcPr>
            <w:tcW w:w="1198" w:type="pct"/>
          </w:tcPr>
          <w:p w14:paraId="6B6E2AAA" w14:textId="0E26EFCE" w:rsidR="00D553E8" w:rsidRDefault="00733134">
            <w:r>
              <w:fldChar w:fldCharType="begin"/>
            </w:r>
            <w:r>
              <w:instrText xml:space="preserve"> PAGEREF  id8010074  \* MERGEFORMAT </w:instrText>
            </w:r>
            <w:r>
              <w:fldChar w:fldCharType="separate"/>
            </w:r>
            <w:r w:rsidR="00D553E8">
              <w:rPr>
                <w:noProof/>
              </w:rPr>
              <w:t>8</w:t>
            </w:r>
            <w:r>
              <w:rPr>
                <w:noProof/>
              </w:rPr>
              <w:fldChar w:fldCharType="end"/>
            </w:r>
          </w:p>
        </w:tc>
      </w:tr>
    </w:tbl>
    <w:p w14:paraId="03C13602" w14:textId="77777777" w:rsidR="00BA20C5" w:rsidRDefault="00BA20C5">
      <w:pPr>
        <w:rPr>
          <w:b/>
        </w:rPr>
        <w:sectPr w:rsidR="00BA20C5">
          <w:headerReference w:type="even" r:id="rId8"/>
          <w:headerReference w:type="default" r:id="rId9"/>
          <w:footerReference w:type="default" r:id="rId10"/>
          <w:headerReference w:type="first" r:id="rId11"/>
          <w:footerReference w:type="first" r:id="rId12"/>
          <w:pgSz w:w="11907" w:h="16840" w:code="9"/>
          <w:pgMar w:top="1418" w:right="1418" w:bottom="1418" w:left="1418" w:header="567" w:footer="567" w:gutter="0"/>
          <w:paperSrc w:first="7" w:other="7"/>
          <w:cols w:space="720"/>
          <w:titlePg/>
        </w:sectPr>
      </w:pPr>
    </w:p>
    <w:p w14:paraId="26419955" w14:textId="77777777" w:rsidR="00BA20C5" w:rsidRDefault="00CC2D3C">
      <w:pPr>
        <w:pStyle w:val="Heading1"/>
        <w:pageBreakBefore/>
      </w:pPr>
      <w:bookmarkStart w:id="0" w:name="id8011006"/>
      <w:r>
        <w:lastRenderedPageBreak/>
        <w:t>1.0.0 COMMITTEES</w:t>
      </w:r>
      <w:bookmarkEnd w:id="0"/>
    </w:p>
    <w:p w14:paraId="3DA42AF8" w14:textId="77777777" w:rsidR="00BA20C5" w:rsidRDefault="00CC2D3C">
      <w:r>
        <w:t xml:space="preserve">The activities associated with the management of internal, external or inter-agency committees, task forces, working groups or parties, etc. Includes the committee's establishment, appointment of members, terms of reference, proceedings, minutes, reports, agendas, etc. </w:t>
      </w:r>
    </w:p>
    <w:p w14:paraId="3E84892A" w14:textId="77777777" w:rsidR="00BA20C5" w:rsidRDefault="00BA20C5">
      <w:pPr>
        <w:spacing w:before="0" w:after="60"/>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92"/>
        <w:gridCol w:w="5812"/>
        <w:gridCol w:w="2268"/>
      </w:tblGrid>
      <w:tr w:rsidR="00BA20C5" w14:paraId="66CCF99E" w14:textId="77777777">
        <w:trPr>
          <w:jc w:val="center"/>
        </w:trPr>
        <w:tc>
          <w:tcPr>
            <w:tcW w:w="992" w:type="dxa"/>
          </w:tcPr>
          <w:p w14:paraId="7D8EF0D6" w14:textId="77777777" w:rsidR="00BA20C5" w:rsidRDefault="00CC2D3C">
            <w:r>
              <w:t>1.0.10</w:t>
            </w:r>
          </w:p>
          <w:p w14:paraId="6FBA471D" w14:textId="77777777" w:rsidR="00BA20C5" w:rsidRDefault="00CC2D3C">
            <w:r>
              <w:rPr>
                <w:rStyle w:val="HiddenChar"/>
              </w:rPr>
              <w:t>COMMITTEES</w:t>
            </w:r>
          </w:p>
        </w:tc>
        <w:tc>
          <w:tcPr>
            <w:tcW w:w="5812" w:type="dxa"/>
          </w:tcPr>
          <w:p w14:paraId="584709A9" w14:textId="77777777" w:rsidR="00BA20C5" w:rsidRDefault="00CC2D3C">
            <w:r>
              <w:t xml:space="preserve">Records relating to the registration of persons interested in serving on boards, committees, panels, taskforces etc. Records include expressions of interest, applications, correspondence with applicants. </w:t>
            </w:r>
          </w:p>
          <w:p w14:paraId="384A886A" w14:textId="77777777" w:rsidR="00BA20C5" w:rsidRDefault="00CC2D3C">
            <w:r w:rsidRPr="0043201E">
              <w:rPr>
                <w:b/>
                <w:bCs/>
              </w:rPr>
              <w:t>Note</w:t>
            </w:r>
            <w:r>
              <w:t>: records of successful appointments will be captured as part of the relevant entry above.</w:t>
            </w:r>
          </w:p>
        </w:tc>
        <w:tc>
          <w:tcPr>
            <w:tcW w:w="2268" w:type="dxa"/>
          </w:tcPr>
          <w:p w14:paraId="1E601331" w14:textId="77777777" w:rsidR="00BA20C5" w:rsidRDefault="00CC2D3C">
            <w:r>
              <w:t>Retain until interest withdrawn or reference use ceases, then destroy</w:t>
            </w:r>
          </w:p>
        </w:tc>
      </w:tr>
      <w:tr w:rsidR="00BA20C5" w14:paraId="388ABAE8" w14:textId="77777777">
        <w:trPr>
          <w:jc w:val="center"/>
        </w:trPr>
        <w:tc>
          <w:tcPr>
            <w:tcW w:w="9072" w:type="dxa"/>
            <w:gridSpan w:val="3"/>
          </w:tcPr>
          <w:p w14:paraId="609112CA" w14:textId="77777777" w:rsidR="00BA20C5" w:rsidRDefault="00CC2D3C">
            <w:r>
              <w:rPr>
                <w:b/>
              </w:rPr>
              <w:t xml:space="preserve">Justification/Remarks: </w:t>
            </w:r>
            <w:r>
              <w:t>New entry to address a gap in coverage. Consistent with similar records in FA313, Premier's Department.</w:t>
            </w:r>
          </w:p>
        </w:tc>
      </w:tr>
    </w:tbl>
    <w:p w14:paraId="33F79904" w14:textId="5AF68EC3" w:rsidR="00885ACF" w:rsidRDefault="00885ACF" w:rsidP="00885ACF">
      <w:pPr>
        <w:pStyle w:val="Heading1"/>
        <w:pageBreakBefore/>
      </w:pPr>
      <w:bookmarkStart w:id="1" w:name="id8011127"/>
      <w:r>
        <w:lastRenderedPageBreak/>
        <w:t>COMMUNITY RELATIONS</w:t>
      </w:r>
    </w:p>
    <w:p w14:paraId="5ADD51FF" w14:textId="293D30FD" w:rsidR="00885ACF" w:rsidRPr="00885ACF" w:rsidRDefault="00885ACF" w:rsidP="00885ACF">
      <w:r w:rsidRPr="00885ACF">
        <w:t>The function of establishing rapport with the community and raising and maintaining the organisation's broad public profile.</w:t>
      </w:r>
    </w:p>
    <w:p w14:paraId="28DB46B5" w14:textId="3B1214E6" w:rsidR="00885ACF" w:rsidRDefault="00885ACF" w:rsidP="00885ACF">
      <w:pPr>
        <w:pStyle w:val="Heading2"/>
      </w:pPr>
      <w:r>
        <w:t>2.6.4 Customer service</w:t>
      </w:r>
    </w:p>
    <w:p w14:paraId="7F344A4B" w14:textId="77777777" w:rsidR="00885ACF" w:rsidRPr="00885ACF" w:rsidRDefault="00885ACF" w:rsidP="00885ACF"/>
    <w:tbl>
      <w:tblPr>
        <w:tblpPr w:leftFromText="180" w:rightFromText="180" w:vertAnchor="text" w:horzAnchor="margin" w:tblpYSpec="outside"/>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92"/>
        <w:gridCol w:w="5812"/>
        <w:gridCol w:w="2268"/>
      </w:tblGrid>
      <w:tr w:rsidR="00885ACF" w14:paraId="0D5F9C83" w14:textId="77777777" w:rsidTr="00023A3E">
        <w:tc>
          <w:tcPr>
            <w:tcW w:w="992" w:type="dxa"/>
          </w:tcPr>
          <w:p w14:paraId="14131676" w14:textId="376AD5D7" w:rsidR="00885ACF" w:rsidRDefault="00885ACF" w:rsidP="00023A3E">
            <w:r>
              <w:t>2.6.4</w:t>
            </w:r>
          </w:p>
          <w:p w14:paraId="3B51600B" w14:textId="77777777" w:rsidR="00885ACF" w:rsidRDefault="00885ACF" w:rsidP="00023A3E">
            <w:r>
              <w:rPr>
                <w:rStyle w:val="HiddenChar"/>
              </w:rPr>
              <w:t>INFORMATION MANAGEMENT - Control</w:t>
            </w:r>
          </w:p>
        </w:tc>
        <w:tc>
          <w:tcPr>
            <w:tcW w:w="5812" w:type="dxa"/>
          </w:tcPr>
          <w:p w14:paraId="3BDE6229" w14:textId="77777777" w:rsidR="00885ACF" w:rsidRDefault="00885ACF" w:rsidP="00023A3E">
            <w:r w:rsidRPr="00885ACF">
              <w:t>Management of contact details of clients, e.g. e-mail lists, address lists, customer profiles or accounts</w:t>
            </w:r>
            <w:r>
              <w:t>.</w:t>
            </w:r>
          </w:p>
        </w:tc>
        <w:tc>
          <w:tcPr>
            <w:tcW w:w="2268" w:type="dxa"/>
          </w:tcPr>
          <w:p w14:paraId="5D688267" w14:textId="2C7D656C" w:rsidR="00885ACF" w:rsidRPr="00885ACF" w:rsidRDefault="00885ACF" w:rsidP="00885ACF">
            <w:pPr>
              <w:pStyle w:val="Default"/>
              <w:rPr>
                <w:sz w:val="20"/>
                <w:szCs w:val="20"/>
              </w:rPr>
            </w:pPr>
            <w:r>
              <w:rPr>
                <w:sz w:val="20"/>
                <w:szCs w:val="20"/>
              </w:rPr>
              <w:t xml:space="preserve">Retain until administrative or reference use ceases, then destroy </w:t>
            </w:r>
          </w:p>
        </w:tc>
      </w:tr>
      <w:tr w:rsidR="00885ACF" w14:paraId="3CA9BAD9" w14:textId="77777777" w:rsidTr="00023A3E">
        <w:tc>
          <w:tcPr>
            <w:tcW w:w="9072" w:type="dxa"/>
            <w:gridSpan w:val="3"/>
          </w:tcPr>
          <w:p w14:paraId="28040111" w14:textId="5476A56D" w:rsidR="00885ACF" w:rsidRDefault="00885ACF" w:rsidP="00023A3E">
            <w:r>
              <w:rPr>
                <w:b/>
              </w:rPr>
              <w:t xml:space="preserve">Justification/Remarks: </w:t>
            </w:r>
            <w:r w:rsidRPr="00885ACF">
              <w:rPr>
                <w:bCs/>
              </w:rPr>
              <w:t xml:space="preserve">Description amended to </w:t>
            </w:r>
            <w:r>
              <w:rPr>
                <w:bCs/>
              </w:rPr>
              <w:t>add</w:t>
            </w:r>
            <w:r w:rsidRPr="00885ACF">
              <w:rPr>
                <w:bCs/>
              </w:rPr>
              <w:t xml:space="preserve"> customer profiles, accounts</w:t>
            </w:r>
            <w:r>
              <w:rPr>
                <w:bCs/>
              </w:rPr>
              <w:t xml:space="preserve"> </w:t>
            </w:r>
            <w:r w:rsidRPr="00885ACF">
              <w:rPr>
                <w:bCs/>
              </w:rPr>
              <w:t xml:space="preserve">from </w:t>
            </w:r>
            <w:r w:rsidR="009267C0">
              <w:rPr>
                <w:bCs/>
              </w:rPr>
              <w:t>websites/</w:t>
            </w:r>
            <w:r w:rsidRPr="00885ACF">
              <w:rPr>
                <w:bCs/>
              </w:rPr>
              <w:t>portals to be included</w:t>
            </w:r>
            <w:r>
              <w:rPr>
                <w:bCs/>
              </w:rPr>
              <w:t xml:space="preserve"> in the management of contact details.</w:t>
            </w:r>
          </w:p>
        </w:tc>
      </w:tr>
    </w:tbl>
    <w:p w14:paraId="3CD78E74" w14:textId="77777777" w:rsidR="00885ACF" w:rsidRPr="00885ACF" w:rsidRDefault="00885ACF" w:rsidP="00885ACF"/>
    <w:p w14:paraId="2B1EBCD0" w14:textId="77777777" w:rsidR="00885ACF" w:rsidRDefault="00885ACF">
      <w:pPr>
        <w:spacing w:before="0" w:after="0"/>
        <w:rPr>
          <w:b/>
          <w:sz w:val="24"/>
        </w:rPr>
      </w:pPr>
      <w:r>
        <w:br w:type="page"/>
      </w:r>
    </w:p>
    <w:p w14:paraId="3D3122DC" w14:textId="3CB5F257" w:rsidR="00BA20C5" w:rsidRDefault="00CC2D3C">
      <w:pPr>
        <w:pStyle w:val="Heading1"/>
        <w:pageBreakBefore/>
      </w:pPr>
      <w:r>
        <w:lastRenderedPageBreak/>
        <w:t>GOVERNING AND CORPORATE BODIES</w:t>
      </w:r>
      <w:bookmarkEnd w:id="1"/>
    </w:p>
    <w:p w14:paraId="21131DD4" w14:textId="77777777" w:rsidR="00BA20C5" w:rsidRDefault="00CC2D3C">
      <w:r>
        <w:t xml:space="preserve">The establishment and management of corporate entities, such as companies and corporations and of governing bodies, such as boards, trusts, councils, commissions, etc. </w:t>
      </w:r>
    </w:p>
    <w:p w14:paraId="756C0190" w14:textId="77777777" w:rsidR="00BA20C5" w:rsidRDefault="00CC2D3C">
      <w:pPr>
        <w:pStyle w:val="Heading2"/>
      </w:pPr>
      <w:bookmarkStart w:id="2" w:name="id8011198"/>
      <w:r>
        <w:t>9.10.0 Meetings</w:t>
      </w:r>
      <w:bookmarkEnd w:id="2"/>
    </w:p>
    <w:p w14:paraId="14C12514" w14:textId="77777777" w:rsidR="00BA20C5" w:rsidRDefault="00BA20C5">
      <w:pPr>
        <w:spacing w:before="0" w:after="60"/>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92"/>
        <w:gridCol w:w="5812"/>
        <w:gridCol w:w="2268"/>
      </w:tblGrid>
      <w:tr w:rsidR="00BA20C5" w14:paraId="42B127B6" w14:textId="77777777">
        <w:trPr>
          <w:jc w:val="center"/>
        </w:trPr>
        <w:tc>
          <w:tcPr>
            <w:tcW w:w="992" w:type="dxa"/>
          </w:tcPr>
          <w:p w14:paraId="50B81E92" w14:textId="77777777" w:rsidR="00BA20C5" w:rsidRDefault="00CC2D3C">
            <w:r>
              <w:t>9.10.1</w:t>
            </w:r>
          </w:p>
          <w:p w14:paraId="4279AA9E" w14:textId="77777777" w:rsidR="00BA20C5" w:rsidRDefault="00CC2D3C">
            <w:r>
              <w:rPr>
                <w:rStyle w:val="HiddenChar"/>
              </w:rPr>
              <w:t>GOVERNING AND CORPORATE BODIES - Meetings</w:t>
            </w:r>
          </w:p>
        </w:tc>
        <w:tc>
          <w:tcPr>
            <w:tcW w:w="5812" w:type="dxa"/>
          </w:tcPr>
          <w:p w14:paraId="50935899" w14:textId="77777777" w:rsidR="00BA20C5" w:rsidRDefault="00CC2D3C">
            <w:r>
              <w:t>Records relating to the meetings of governing bodies, such as boards, trusts, etc., and meetings of sub-committees. Records include:</w:t>
            </w:r>
          </w:p>
          <w:p w14:paraId="3FBAC052" w14:textId="77777777" w:rsidR="00BA20C5" w:rsidRDefault="00CC2D3C">
            <w:pPr>
              <w:numPr>
                <w:ilvl w:val="0"/>
                <w:numId w:val="1"/>
              </w:numPr>
            </w:pPr>
            <w:r>
              <w:t>agenda and minutes</w:t>
            </w:r>
          </w:p>
          <w:p w14:paraId="7A70E25A" w14:textId="77777777" w:rsidR="00BA20C5" w:rsidRDefault="00CC2D3C">
            <w:pPr>
              <w:numPr>
                <w:ilvl w:val="0"/>
                <w:numId w:val="1"/>
              </w:numPr>
            </w:pPr>
            <w:r>
              <w:t>advice and briefing papers</w:t>
            </w:r>
          </w:p>
          <w:p w14:paraId="57A88B5C" w14:textId="77777777" w:rsidR="00BA20C5" w:rsidRDefault="00CC2D3C">
            <w:pPr>
              <w:numPr>
                <w:ilvl w:val="0"/>
                <w:numId w:val="1"/>
              </w:numPr>
            </w:pPr>
            <w:r>
              <w:t>submissions and reports</w:t>
            </w:r>
          </w:p>
          <w:p w14:paraId="77F71B37" w14:textId="77777777" w:rsidR="00BA20C5" w:rsidRDefault="00CC2D3C">
            <w:pPr>
              <w:numPr>
                <w:ilvl w:val="0"/>
                <w:numId w:val="1"/>
              </w:numPr>
            </w:pPr>
            <w:r>
              <w:t>recommendations and resolutions</w:t>
            </w:r>
          </w:p>
          <w:p w14:paraId="5DDC022B" w14:textId="77777777" w:rsidR="00BA20C5" w:rsidRDefault="00CC2D3C">
            <w:pPr>
              <w:numPr>
                <w:ilvl w:val="0"/>
                <w:numId w:val="1"/>
              </w:numPr>
            </w:pPr>
            <w:r>
              <w:t>correspondence arising from business discussed or resolutions passed at meetings.</w:t>
            </w:r>
          </w:p>
          <w:p w14:paraId="5C4C08C1" w14:textId="77777777" w:rsidR="00BA20C5" w:rsidRDefault="00CC2D3C">
            <w:r>
              <w:rPr>
                <w:b/>
              </w:rPr>
              <w:t>Note:</w:t>
            </w:r>
            <w:r>
              <w:t xml:space="preserve"> sub-committees of Boards are comprised of Board members only. </w:t>
            </w:r>
          </w:p>
        </w:tc>
        <w:tc>
          <w:tcPr>
            <w:tcW w:w="2268" w:type="dxa"/>
          </w:tcPr>
          <w:p w14:paraId="6BF8CBD9" w14:textId="77777777" w:rsidR="00BA20C5" w:rsidRDefault="00CC2D3C">
            <w:r>
              <w:t>Required as State archives</w:t>
            </w:r>
          </w:p>
        </w:tc>
      </w:tr>
      <w:tr w:rsidR="00BA20C5" w14:paraId="2FCD9506" w14:textId="77777777">
        <w:trPr>
          <w:jc w:val="center"/>
        </w:trPr>
        <w:tc>
          <w:tcPr>
            <w:tcW w:w="9072" w:type="dxa"/>
            <w:gridSpan w:val="3"/>
          </w:tcPr>
          <w:p w14:paraId="2DFF2224" w14:textId="31A878AA" w:rsidR="00BA20C5" w:rsidRDefault="00CC2D3C" w:rsidP="0043201E">
            <w:r>
              <w:rPr>
                <w:b/>
              </w:rPr>
              <w:t xml:space="preserve">Justification/Remarks: </w:t>
            </w:r>
            <w:r w:rsidR="0043201E" w:rsidRPr="0043201E">
              <w:rPr>
                <w:bCs/>
              </w:rPr>
              <w:t>addition of note to provide guidance about the types of sub committee records that can be transferred as State archives.</w:t>
            </w:r>
          </w:p>
        </w:tc>
      </w:tr>
    </w:tbl>
    <w:p w14:paraId="7CDAC7C4" w14:textId="77777777" w:rsidR="00BA20C5" w:rsidRDefault="00CC2D3C">
      <w:pPr>
        <w:pStyle w:val="Heading1"/>
        <w:pageBreakBefore/>
      </w:pPr>
      <w:bookmarkStart w:id="3" w:name="id8011268"/>
      <w:r>
        <w:lastRenderedPageBreak/>
        <w:t>INFORMATION MANAGEMENT</w:t>
      </w:r>
      <w:bookmarkEnd w:id="3"/>
    </w:p>
    <w:p w14:paraId="702E9A12" w14:textId="77777777" w:rsidR="00BA20C5" w:rsidRDefault="00CC2D3C">
      <w:pPr>
        <w:pStyle w:val="Heading2"/>
      </w:pPr>
      <w:bookmarkStart w:id="4" w:name="id8011238"/>
      <w:r>
        <w:t>12.9.0 Control</w:t>
      </w:r>
      <w:bookmarkEnd w:id="4"/>
    </w:p>
    <w:p w14:paraId="1055FACC" w14:textId="77777777" w:rsidR="00885ACF" w:rsidRPr="00885ACF" w:rsidRDefault="00885ACF" w:rsidP="00885ACF"/>
    <w:tbl>
      <w:tblPr>
        <w:tblpPr w:leftFromText="180" w:rightFromText="180" w:vertAnchor="text" w:horzAnchor="margin" w:tblpYSpec="outside"/>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92"/>
        <w:gridCol w:w="5812"/>
        <w:gridCol w:w="2268"/>
      </w:tblGrid>
      <w:tr w:rsidR="00885ACF" w14:paraId="46297E07" w14:textId="77777777" w:rsidTr="00885ACF">
        <w:tc>
          <w:tcPr>
            <w:tcW w:w="992" w:type="dxa"/>
          </w:tcPr>
          <w:p w14:paraId="0B3BEB3A" w14:textId="77777777" w:rsidR="00885ACF" w:rsidRDefault="00885ACF" w:rsidP="00885ACF">
            <w:r>
              <w:t>12.9.1</w:t>
            </w:r>
          </w:p>
          <w:p w14:paraId="14BBB982" w14:textId="77777777" w:rsidR="00885ACF" w:rsidRDefault="00885ACF" w:rsidP="00885ACF">
            <w:r>
              <w:rPr>
                <w:rStyle w:val="HiddenChar"/>
              </w:rPr>
              <w:t>INFORMATION MANAGEMENT - Control</w:t>
            </w:r>
          </w:p>
        </w:tc>
        <w:tc>
          <w:tcPr>
            <w:tcW w:w="5812" w:type="dxa"/>
          </w:tcPr>
          <w:p w14:paraId="00C874DD" w14:textId="77777777" w:rsidR="00885ACF" w:rsidRDefault="00885ACF" w:rsidP="00885ACF">
            <w:r>
              <w:t xml:space="preserve">Primary control records for records required as State archives, which are required to facilitate access and give meaning and context to the records over time. Records </w:t>
            </w:r>
            <w:r>
              <w:rPr>
                <w:i/>
              </w:rPr>
              <w:t>may</w:t>
            </w:r>
            <w:r>
              <w:t xml:space="preserve"> include:</w:t>
            </w:r>
          </w:p>
          <w:p w14:paraId="25380473" w14:textId="77777777" w:rsidR="00885ACF" w:rsidRDefault="00885ACF" w:rsidP="00885ACF">
            <w:pPr>
              <w:numPr>
                <w:ilvl w:val="0"/>
                <w:numId w:val="1"/>
              </w:numPr>
            </w:pPr>
            <w:r>
              <w:t>indexes</w:t>
            </w:r>
          </w:p>
          <w:p w14:paraId="710F722A" w14:textId="77777777" w:rsidR="00885ACF" w:rsidRDefault="00885ACF" w:rsidP="00885ACF">
            <w:pPr>
              <w:numPr>
                <w:ilvl w:val="0"/>
                <w:numId w:val="1"/>
              </w:numPr>
            </w:pPr>
            <w:r>
              <w:t>correspondence/file registers or registration systems</w:t>
            </w:r>
          </w:p>
          <w:p w14:paraId="789B980C" w14:textId="77777777" w:rsidR="00885ACF" w:rsidRDefault="00885ACF" w:rsidP="00885ACF">
            <w:pPr>
              <w:numPr>
                <w:ilvl w:val="0"/>
                <w:numId w:val="1"/>
              </w:numPr>
            </w:pPr>
            <w:r>
              <w:t>metadata.</w:t>
            </w:r>
          </w:p>
          <w:p w14:paraId="0425046A" w14:textId="77777777" w:rsidR="00885ACF" w:rsidRDefault="00885ACF" w:rsidP="00885ACF">
            <w:r>
              <w:rPr>
                <w:b/>
              </w:rPr>
              <w:t>Note:</w:t>
            </w:r>
            <w:r>
              <w:t xml:space="preserve"> Before transfer, Museums of History NSW should be contacted to discuss what control records are covered by this entry. Where metadata about items has been created as part of a State archives transfer, control records are not required as State archives.</w:t>
            </w:r>
          </w:p>
        </w:tc>
        <w:tc>
          <w:tcPr>
            <w:tcW w:w="2268" w:type="dxa"/>
          </w:tcPr>
          <w:p w14:paraId="1B271A52" w14:textId="77777777" w:rsidR="00885ACF" w:rsidRDefault="00885ACF" w:rsidP="00885ACF">
            <w:r>
              <w:t>Required as State archives</w:t>
            </w:r>
          </w:p>
        </w:tc>
      </w:tr>
      <w:tr w:rsidR="00885ACF" w14:paraId="376D99BA" w14:textId="77777777" w:rsidTr="00885ACF">
        <w:tc>
          <w:tcPr>
            <w:tcW w:w="9072" w:type="dxa"/>
            <w:gridSpan w:val="3"/>
          </w:tcPr>
          <w:p w14:paraId="40D49BE6" w14:textId="77777777" w:rsidR="00885ACF" w:rsidRDefault="00885ACF" w:rsidP="00885ACF">
            <w:r>
              <w:rPr>
                <w:b/>
              </w:rPr>
              <w:t xml:space="preserve">Justification/Remarks: </w:t>
            </w:r>
            <w:r w:rsidRPr="0043201E">
              <w:rPr>
                <w:bCs/>
              </w:rPr>
              <w:t>Add</w:t>
            </w:r>
            <w:r>
              <w:rPr>
                <w:bCs/>
              </w:rPr>
              <w:t>ition of note to provide clarity on what control records are required as State archives. As metadata is now created and captured as part of State archives transfers through the portal, control records are not always required as State archives.</w:t>
            </w:r>
          </w:p>
        </w:tc>
      </w:tr>
    </w:tbl>
    <w:p w14:paraId="1B3C4555" w14:textId="77777777" w:rsidR="00BA20C5" w:rsidRDefault="00BA20C5">
      <w:pPr>
        <w:spacing w:before="0" w:after="60"/>
      </w:pPr>
    </w:p>
    <w:p w14:paraId="480263DD" w14:textId="106DD6DA" w:rsidR="00885ACF" w:rsidRDefault="00885ACF" w:rsidP="00885ACF">
      <w:pPr>
        <w:pStyle w:val="Heading2"/>
      </w:pPr>
      <w:bookmarkStart w:id="5" w:name="id8009281"/>
      <w:r>
        <w:t>12.10.6 Customer service</w:t>
      </w:r>
    </w:p>
    <w:p w14:paraId="1EBDF62B" w14:textId="77777777" w:rsidR="00885ACF" w:rsidRPr="00885ACF" w:rsidRDefault="00885ACF" w:rsidP="00885ACF"/>
    <w:tbl>
      <w:tblPr>
        <w:tblpPr w:leftFromText="180" w:rightFromText="180" w:vertAnchor="text" w:horzAnchor="margin" w:tblpYSpec="outside"/>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92"/>
        <w:gridCol w:w="5812"/>
        <w:gridCol w:w="2268"/>
      </w:tblGrid>
      <w:tr w:rsidR="00885ACF" w14:paraId="5B03CC03" w14:textId="77777777" w:rsidTr="00023A3E">
        <w:tc>
          <w:tcPr>
            <w:tcW w:w="992" w:type="dxa"/>
          </w:tcPr>
          <w:p w14:paraId="7899A423" w14:textId="77777777" w:rsidR="00885ACF" w:rsidRDefault="00885ACF" w:rsidP="00023A3E">
            <w:r>
              <w:t>12.9.1</w:t>
            </w:r>
          </w:p>
          <w:p w14:paraId="393ACEB9" w14:textId="77777777" w:rsidR="00885ACF" w:rsidRDefault="00885ACF" w:rsidP="00023A3E">
            <w:r>
              <w:rPr>
                <w:rStyle w:val="HiddenChar"/>
              </w:rPr>
              <w:t>INFORMATION MANAGEMENT - Control</w:t>
            </w:r>
          </w:p>
        </w:tc>
        <w:tc>
          <w:tcPr>
            <w:tcW w:w="5812" w:type="dxa"/>
          </w:tcPr>
          <w:p w14:paraId="42B2012C" w14:textId="6CCFB454" w:rsidR="00885ACF" w:rsidRDefault="00885ACF" w:rsidP="00023A3E">
            <w:r w:rsidRPr="00885ACF">
              <w:t>Management of contact details of clients, e.g. e-mail lists, address lists, customer profiles or accounts</w:t>
            </w:r>
            <w:r>
              <w:t>.</w:t>
            </w:r>
          </w:p>
        </w:tc>
        <w:tc>
          <w:tcPr>
            <w:tcW w:w="2268" w:type="dxa"/>
          </w:tcPr>
          <w:p w14:paraId="41E3CB87" w14:textId="2EF30435" w:rsidR="00885ACF" w:rsidRDefault="00885ACF" w:rsidP="00023A3E">
            <w:r w:rsidRPr="00885ACF">
              <w:t>Retain until superseded, then destroy</w:t>
            </w:r>
          </w:p>
        </w:tc>
      </w:tr>
      <w:tr w:rsidR="00885ACF" w14:paraId="640054CC" w14:textId="77777777" w:rsidTr="00023A3E">
        <w:tc>
          <w:tcPr>
            <w:tcW w:w="9072" w:type="dxa"/>
            <w:gridSpan w:val="3"/>
          </w:tcPr>
          <w:p w14:paraId="3BB6845A" w14:textId="70855C53" w:rsidR="00885ACF" w:rsidRDefault="00885ACF" w:rsidP="00023A3E">
            <w:r>
              <w:rPr>
                <w:b/>
              </w:rPr>
              <w:t xml:space="preserve">Justification/Remarks: </w:t>
            </w:r>
            <w:r w:rsidRPr="00885ACF">
              <w:rPr>
                <w:bCs/>
              </w:rPr>
              <w:t xml:space="preserve">Description amended to </w:t>
            </w:r>
            <w:r>
              <w:rPr>
                <w:bCs/>
              </w:rPr>
              <w:t>add</w:t>
            </w:r>
            <w:r w:rsidRPr="00885ACF">
              <w:rPr>
                <w:bCs/>
              </w:rPr>
              <w:t xml:space="preserve"> customer profiles, accounts and log-ins from website</w:t>
            </w:r>
            <w:r w:rsidR="009267C0">
              <w:rPr>
                <w:bCs/>
              </w:rPr>
              <w:t>s/</w:t>
            </w:r>
            <w:r w:rsidRPr="00885ACF">
              <w:rPr>
                <w:bCs/>
              </w:rPr>
              <w:t>portals to be included</w:t>
            </w:r>
            <w:r>
              <w:rPr>
                <w:bCs/>
              </w:rPr>
              <w:t xml:space="preserve"> in the management of contact details.</w:t>
            </w:r>
          </w:p>
        </w:tc>
      </w:tr>
    </w:tbl>
    <w:p w14:paraId="0DCDCEFA" w14:textId="77777777" w:rsidR="00BA20C5" w:rsidRDefault="00CC2D3C" w:rsidP="00885ACF">
      <w:pPr>
        <w:pStyle w:val="Heading1"/>
        <w:pageBreakBefore/>
        <w:ind w:left="0" w:firstLine="0"/>
      </w:pPr>
      <w:r>
        <w:lastRenderedPageBreak/>
        <w:t>PERSONNEL</w:t>
      </w:r>
      <w:bookmarkEnd w:id="5"/>
    </w:p>
    <w:p w14:paraId="2B89FFA0" w14:textId="77777777" w:rsidR="00BA20C5" w:rsidRDefault="00CC2D3C">
      <w:pPr>
        <w:pStyle w:val="Heading2"/>
      </w:pPr>
      <w:bookmarkStart w:id="6" w:name="id8009318"/>
      <w:r>
        <w:t>15.4.0 Employee service history</w:t>
      </w:r>
      <w:bookmarkEnd w:id="6"/>
    </w:p>
    <w:p w14:paraId="68205671" w14:textId="77777777" w:rsidR="00BA20C5" w:rsidRDefault="00CC2D3C">
      <w:r>
        <w:t>The activities associated with managing the appointment and service of personnel. Includes permanent, temporary and casual employees, and volunteers.</w:t>
      </w:r>
    </w:p>
    <w:p w14:paraId="3BA12B88" w14:textId="77777777" w:rsidR="00BA20C5" w:rsidRDefault="00BA20C5">
      <w:pPr>
        <w:spacing w:before="0" w:after="60"/>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92"/>
        <w:gridCol w:w="5946"/>
        <w:gridCol w:w="2134"/>
      </w:tblGrid>
      <w:tr w:rsidR="00BA20C5" w14:paraId="4EFE555B" w14:textId="77777777" w:rsidTr="00733134">
        <w:trPr>
          <w:jc w:val="center"/>
        </w:trPr>
        <w:tc>
          <w:tcPr>
            <w:tcW w:w="992" w:type="dxa"/>
          </w:tcPr>
          <w:p w14:paraId="310FCB43" w14:textId="77777777" w:rsidR="00BA20C5" w:rsidRDefault="00CC2D3C">
            <w:r>
              <w:t>15.4.1</w:t>
            </w:r>
          </w:p>
          <w:p w14:paraId="45F58E6C" w14:textId="77777777" w:rsidR="00BA20C5" w:rsidRDefault="00CC2D3C">
            <w:r>
              <w:rPr>
                <w:rStyle w:val="HiddenChar"/>
              </w:rPr>
              <w:t>PERSONNEL - Employee service history</w:t>
            </w:r>
          </w:p>
        </w:tc>
        <w:tc>
          <w:tcPr>
            <w:tcW w:w="5946" w:type="dxa"/>
          </w:tcPr>
          <w:p w14:paraId="7865B134" w14:textId="77777777" w:rsidR="00BA20C5" w:rsidRDefault="00CC2D3C">
            <w:r>
              <w:t>Records summarising the employment or service history of personnel. Includes:</w:t>
            </w:r>
          </w:p>
          <w:p w14:paraId="704C0E46" w14:textId="77777777" w:rsidR="00BA20C5" w:rsidRDefault="00CC2D3C">
            <w:pPr>
              <w:numPr>
                <w:ilvl w:val="0"/>
                <w:numId w:val="1"/>
              </w:numPr>
            </w:pPr>
            <w:r>
              <w:t>name</w:t>
            </w:r>
          </w:p>
          <w:p w14:paraId="30CC9355" w14:textId="77777777" w:rsidR="00BA20C5" w:rsidRDefault="00CC2D3C">
            <w:pPr>
              <w:numPr>
                <w:ilvl w:val="0"/>
                <w:numId w:val="1"/>
              </w:numPr>
            </w:pPr>
            <w:r>
              <w:t>date of birth</w:t>
            </w:r>
          </w:p>
          <w:p w14:paraId="333D001E" w14:textId="77777777" w:rsidR="00BA20C5" w:rsidRDefault="00CC2D3C">
            <w:pPr>
              <w:numPr>
                <w:ilvl w:val="0"/>
                <w:numId w:val="1"/>
              </w:numPr>
            </w:pPr>
            <w:r>
              <w:t>dates of employment/service</w:t>
            </w:r>
          </w:p>
          <w:p w14:paraId="463A4961" w14:textId="77777777" w:rsidR="00BA20C5" w:rsidRDefault="00CC2D3C">
            <w:pPr>
              <w:numPr>
                <w:ilvl w:val="0"/>
                <w:numId w:val="1"/>
              </w:numPr>
            </w:pPr>
            <w:r>
              <w:t>positions held and salary</w:t>
            </w:r>
          </w:p>
          <w:p w14:paraId="451DD6D8" w14:textId="77777777" w:rsidR="00BA20C5" w:rsidRDefault="00CC2D3C">
            <w:pPr>
              <w:numPr>
                <w:ilvl w:val="0"/>
                <w:numId w:val="1"/>
              </w:numPr>
            </w:pPr>
            <w:r>
              <w:t>locations worked.</w:t>
            </w:r>
          </w:p>
          <w:p w14:paraId="24C7F6AF" w14:textId="504E1865" w:rsidR="00BA20C5" w:rsidRDefault="00CC2D3C">
            <w:r>
              <w:rPr>
                <w:b/>
              </w:rPr>
              <w:t>Note:</w:t>
            </w:r>
            <w:r>
              <w:t xml:space="preserve"> This includes information maintained in electronic </w:t>
            </w:r>
            <w:r w:rsidR="00EC3AE5">
              <w:t>s</w:t>
            </w:r>
            <w:r>
              <w:t>ystems. If the systems do not include these fields the records are not required as State archives.</w:t>
            </w:r>
          </w:p>
        </w:tc>
        <w:tc>
          <w:tcPr>
            <w:tcW w:w="2134" w:type="dxa"/>
          </w:tcPr>
          <w:p w14:paraId="264F65BA" w14:textId="77777777" w:rsidR="00BA20C5" w:rsidRDefault="00CC2D3C">
            <w:r>
              <w:t>Required as State archives</w:t>
            </w:r>
          </w:p>
        </w:tc>
      </w:tr>
      <w:tr w:rsidR="00BA20C5" w14:paraId="1632630B" w14:textId="77777777">
        <w:trPr>
          <w:jc w:val="center"/>
        </w:trPr>
        <w:tc>
          <w:tcPr>
            <w:tcW w:w="9072" w:type="dxa"/>
            <w:gridSpan w:val="3"/>
          </w:tcPr>
          <w:p w14:paraId="0E1D5429" w14:textId="77777777" w:rsidR="00BA20C5" w:rsidRDefault="00CC2D3C">
            <w:r>
              <w:rPr>
                <w:b/>
              </w:rPr>
              <w:t xml:space="preserve">Justification/Remarks: </w:t>
            </w:r>
            <w:r>
              <w:t>Note amended to clarify that for electronic summaries of employment history the metadata should include the above information as a minimum.</w:t>
            </w:r>
          </w:p>
        </w:tc>
      </w:tr>
      <w:tr w:rsidR="00BA20C5" w14:paraId="312873EC" w14:textId="77777777" w:rsidTr="00733134">
        <w:trPr>
          <w:jc w:val="center"/>
        </w:trPr>
        <w:tc>
          <w:tcPr>
            <w:tcW w:w="992" w:type="dxa"/>
          </w:tcPr>
          <w:p w14:paraId="260E4EAD" w14:textId="77777777" w:rsidR="00BA20C5" w:rsidRDefault="00CC2D3C">
            <w:r>
              <w:t>15.4.2</w:t>
            </w:r>
          </w:p>
          <w:p w14:paraId="0DED06BC" w14:textId="77777777" w:rsidR="00BA20C5" w:rsidRDefault="00CC2D3C">
            <w:r>
              <w:rPr>
                <w:rStyle w:val="HiddenChar"/>
              </w:rPr>
              <w:t>PERSONNEL - Employee service history</w:t>
            </w:r>
          </w:p>
        </w:tc>
        <w:tc>
          <w:tcPr>
            <w:tcW w:w="5946" w:type="dxa"/>
          </w:tcPr>
          <w:p w14:paraId="59282380" w14:textId="77777777" w:rsidR="00BA20C5" w:rsidRDefault="00CC2D3C">
            <w:r>
              <w:t>Records documenting the selection and appointment of:</w:t>
            </w:r>
          </w:p>
          <w:p w14:paraId="73E6D118" w14:textId="77777777" w:rsidR="00BA20C5" w:rsidRDefault="00CC2D3C">
            <w:pPr>
              <w:numPr>
                <w:ilvl w:val="0"/>
                <w:numId w:val="1"/>
              </w:numPr>
            </w:pPr>
            <w:r>
              <w:t>chief executive officers</w:t>
            </w:r>
          </w:p>
          <w:p w14:paraId="78F07FA0" w14:textId="77777777" w:rsidR="00BA20C5" w:rsidRDefault="00CC2D3C">
            <w:pPr>
              <w:numPr>
                <w:ilvl w:val="0"/>
                <w:numId w:val="1"/>
              </w:numPr>
            </w:pPr>
            <w:r>
              <w:t>statutory officers appointed by the Minister (such as Chief Justices, Registrar-General, Surveyor-General, judges, magistrates, Director of Public Prosecutions)</w:t>
            </w:r>
          </w:p>
          <w:p w14:paraId="3D5D0B58" w14:textId="77777777" w:rsidR="00BA20C5" w:rsidRDefault="00CC2D3C">
            <w:pPr>
              <w:numPr>
                <w:ilvl w:val="0"/>
                <w:numId w:val="1"/>
              </w:numPr>
            </w:pPr>
            <w:r>
              <w:t>University Chancellors and Vice Chancellors.</w:t>
            </w:r>
          </w:p>
          <w:p w14:paraId="3589104D" w14:textId="77777777" w:rsidR="00BA20C5" w:rsidRDefault="00CC2D3C">
            <w:r>
              <w:rPr>
                <w:b/>
              </w:rPr>
              <w:t>Note:</w:t>
            </w:r>
            <w:r>
              <w:t xml:space="preserve"> this entry covers records of selection and appointment only. Records of subsequent employment are to be sentenced as per entry 15.4.3. </w:t>
            </w:r>
          </w:p>
          <w:p w14:paraId="664331F0" w14:textId="77777777" w:rsidR="00BA20C5" w:rsidRDefault="00CC2D3C">
            <w:r>
              <w:t xml:space="preserve">State Records NSW should be contacted for advice about other categories of officers for whom records who may be eligible for transfer as State archives e.g. Government Architect. </w:t>
            </w:r>
          </w:p>
        </w:tc>
        <w:tc>
          <w:tcPr>
            <w:tcW w:w="2134" w:type="dxa"/>
          </w:tcPr>
          <w:p w14:paraId="3ADFA778" w14:textId="77777777" w:rsidR="00BA20C5" w:rsidRDefault="00CC2D3C">
            <w:r>
              <w:t>Required as State archives</w:t>
            </w:r>
          </w:p>
        </w:tc>
      </w:tr>
      <w:tr w:rsidR="00BA20C5" w14:paraId="63554349" w14:textId="77777777">
        <w:trPr>
          <w:jc w:val="center"/>
        </w:trPr>
        <w:tc>
          <w:tcPr>
            <w:tcW w:w="9072" w:type="dxa"/>
            <w:gridSpan w:val="3"/>
          </w:tcPr>
          <w:p w14:paraId="77F3E997" w14:textId="77777777" w:rsidR="00BA20C5" w:rsidRDefault="00CC2D3C">
            <w:r>
              <w:rPr>
                <w:b/>
              </w:rPr>
              <w:t xml:space="preserve">Justification/Remarks: </w:t>
            </w:r>
            <w:r>
              <w:t>Note amended to clarify that this entry covers selection and appointment only - records of subsequent employment are to be sentenced as per 15.4.3.</w:t>
            </w:r>
          </w:p>
        </w:tc>
      </w:tr>
    </w:tbl>
    <w:p w14:paraId="5903240E" w14:textId="77777777" w:rsidR="00BA20C5" w:rsidRDefault="00CC2D3C">
      <w:pPr>
        <w:pStyle w:val="Heading1"/>
        <w:pageBreakBefore/>
      </w:pPr>
      <w:bookmarkStart w:id="7" w:name="id8010074"/>
      <w:r>
        <w:lastRenderedPageBreak/>
        <w:t>STRATEGIC MANAGEMENT</w:t>
      </w:r>
      <w:bookmarkEnd w:id="7"/>
    </w:p>
    <w:p w14:paraId="688B1370" w14:textId="77777777" w:rsidR="00BA20C5" w:rsidRDefault="00CC2D3C">
      <w:pPr>
        <w:pStyle w:val="Heading2"/>
      </w:pPr>
      <w:bookmarkStart w:id="8" w:name="id8010088"/>
      <w:r>
        <w:t>19.8.0 Grant funding &amp; allocation</w:t>
      </w:r>
      <w:bookmarkEnd w:id="8"/>
    </w:p>
    <w:p w14:paraId="3A758E2C" w14:textId="77777777" w:rsidR="00BA20C5" w:rsidRDefault="00CC2D3C">
      <w:r>
        <w:t>The activities associated with:</w:t>
      </w:r>
    </w:p>
    <w:p w14:paraId="4ADC09B2" w14:textId="77777777" w:rsidR="00BA20C5" w:rsidRDefault="00CC2D3C">
      <w:pPr>
        <w:numPr>
          <w:ilvl w:val="0"/>
          <w:numId w:val="1"/>
        </w:numPr>
      </w:pPr>
      <w:r>
        <w:t>the organisation applying for and receiving grants</w:t>
      </w:r>
    </w:p>
    <w:p w14:paraId="766CD817" w14:textId="77777777" w:rsidR="00BA20C5" w:rsidRDefault="00CC2D3C">
      <w:pPr>
        <w:numPr>
          <w:ilvl w:val="0"/>
          <w:numId w:val="1"/>
        </w:numPr>
      </w:pPr>
      <w:r>
        <w:t>the organisation receiving applications for grants from other organisations - Government and non-Government</w:t>
      </w:r>
    </w:p>
    <w:p w14:paraId="6DAC18C6" w14:textId="77777777" w:rsidR="00D347FD" w:rsidRDefault="00D347FD" w:rsidP="00D347FD">
      <w:r>
        <w:t xml:space="preserve">See Functional Retention and Disposal Authority </w:t>
      </w:r>
      <w:r w:rsidRPr="00D347FD">
        <w:rPr>
          <w:i/>
        </w:rPr>
        <w:t xml:space="preserve">Premier's Department </w:t>
      </w:r>
      <w:r>
        <w:t>for records relating to grants approved or rejected by the Premier.</w:t>
      </w:r>
    </w:p>
    <w:p w14:paraId="7E3F64BA" w14:textId="77777777" w:rsidR="00D347FD" w:rsidRDefault="00D347FD" w:rsidP="00D347FD">
      <w:r>
        <w:t xml:space="preserve">See General Retention and Disposal Authority </w:t>
      </w:r>
      <w:r w:rsidRPr="00D347FD">
        <w:rPr>
          <w:i/>
        </w:rPr>
        <w:t xml:space="preserve">Records of a Ministers' Office </w:t>
      </w:r>
      <w:r>
        <w:t>for records relating to grants approved or rejected by Ministers.</w:t>
      </w:r>
    </w:p>
    <w:p w14:paraId="7D6C3AD4" w14:textId="61083D10" w:rsidR="00D347FD" w:rsidRDefault="00D347FD" w:rsidP="00D347FD">
      <w:r>
        <w:t xml:space="preserve">See Functional Retention and Disposal Authority </w:t>
      </w:r>
      <w:r w:rsidRPr="00D347FD">
        <w:rPr>
          <w:i/>
        </w:rPr>
        <w:t xml:space="preserve">Service NSW </w:t>
      </w:r>
      <w:r>
        <w:t>for applications managed by Service NSW.</w:t>
      </w:r>
    </w:p>
    <w:p w14:paraId="37847D03" w14:textId="0A6620C9" w:rsidR="00D347FD" w:rsidRDefault="00D347FD" w:rsidP="00D347FD">
      <w:r>
        <w:t>See General retention and disposal authority: local government for applications managed by councils.</w:t>
      </w:r>
    </w:p>
    <w:p w14:paraId="54302C8C" w14:textId="77777777" w:rsidR="00BA20C5" w:rsidRDefault="00BA20C5">
      <w:pPr>
        <w:spacing w:before="0" w:after="60"/>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92"/>
        <w:gridCol w:w="5812"/>
        <w:gridCol w:w="2268"/>
      </w:tblGrid>
      <w:tr w:rsidR="00BA20C5" w14:paraId="545295B4" w14:textId="77777777">
        <w:trPr>
          <w:jc w:val="center"/>
        </w:trPr>
        <w:tc>
          <w:tcPr>
            <w:tcW w:w="992" w:type="dxa"/>
          </w:tcPr>
          <w:p w14:paraId="5729D0B3" w14:textId="77777777" w:rsidR="00BA20C5" w:rsidRDefault="00CC2D3C">
            <w:r>
              <w:t>19.8.2</w:t>
            </w:r>
          </w:p>
          <w:p w14:paraId="7A3834B2" w14:textId="77777777" w:rsidR="00BA20C5" w:rsidRDefault="00CC2D3C">
            <w:r>
              <w:rPr>
                <w:rStyle w:val="HiddenChar"/>
              </w:rPr>
              <w:t>STRATEGIC MANAGEMENT - Grant funding &amp; allocation</w:t>
            </w:r>
          </w:p>
        </w:tc>
        <w:tc>
          <w:tcPr>
            <w:tcW w:w="5812" w:type="dxa"/>
          </w:tcPr>
          <w:p w14:paraId="594A906A" w14:textId="77777777" w:rsidR="00BA20C5" w:rsidRDefault="00CC2D3C">
            <w:r>
              <w:t>Superseded by entry 19.8.3</w:t>
            </w:r>
          </w:p>
        </w:tc>
        <w:tc>
          <w:tcPr>
            <w:tcW w:w="2268" w:type="dxa"/>
          </w:tcPr>
          <w:p w14:paraId="1C93272C" w14:textId="77777777" w:rsidR="00BA20C5" w:rsidRDefault="00BA20C5"/>
        </w:tc>
      </w:tr>
      <w:tr w:rsidR="00BA20C5" w14:paraId="72E6609B" w14:textId="77777777">
        <w:trPr>
          <w:jc w:val="center"/>
        </w:trPr>
        <w:tc>
          <w:tcPr>
            <w:tcW w:w="9072" w:type="dxa"/>
            <w:gridSpan w:val="3"/>
          </w:tcPr>
          <w:p w14:paraId="2D955D90" w14:textId="77777777" w:rsidR="0043201E" w:rsidRDefault="00CC2D3C" w:rsidP="0043201E">
            <w:r>
              <w:rPr>
                <w:b/>
              </w:rPr>
              <w:t xml:space="preserve">Justification/Remarks: </w:t>
            </w:r>
            <w:r w:rsidR="0043201E">
              <w:t>Previously records relating to successful applications for grants or funds which lead to the establishment of new and significant programs, events and outcomes were required as State archives.</w:t>
            </w:r>
          </w:p>
          <w:p w14:paraId="3CC529EE" w14:textId="56331FFF" w:rsidR="00BA20C5" w:rsidRDefault="0043201E" w:rsidP="0043201E">
            <w:r>
              <w:t>It is now proposed to remove this requirement as most grant applications are routine.  Reporting on any significant programs will be retained as State archives under GA28 GOVERNMENT RELATIONS - Reporting or in the relevant class for the program in the functional retention and disposal authorities.</w:t>
            </w:r>
          </w:p>
        </w:tc>
      </w:tr>
      <w:tr w:rsidR="00BA20C5" w14:paraId="49984C9F" w14:textId="77777777">
        <w:trPr>
          <w:jc w:val="center"/>
        </w:trPr>
        <w:tc>
          <w:tcPr>
            <w:tcW w:w="992" w:type="dxa"/>
          </w:tcPr>
          <w:p w14:paraId="0B150FA6" w14:textId="77777777" w:rsidR="00BA20C5" w:rsidRDefault="00CC2D3C">
            <w:r>
              <w:t>19.8.3</w:t>
            </w:r>
          </w:p>
          <w:p w14:paraId="4206182A" w14:textId="77777777" w:rsidR="00BA20C5" w:rsidRDefault="00CC2D3C">
            <w:r>
              <w:rPr>
                <w:rStyle w:val="HiddenChar"/>
              </w:rPr>
              <w:t>STRATEGIC MANAGEMENT - Grant funding &amp; allocation</w:t>
            </w:r>
          </w:p>
        </w:tc>
        <w:tc>
          <w:tcPr>
            <w:tcW w:w="5812" w:type="dxa"/>
          </w:tcPr>
          <w:p w14:paraId="7ED9DA52" w14:textId="77777777" w:rsidR="00BA20C5" w:rsidRDefault="00CC2D3C">
            <w:r>
              <w:t>Records relating to successful applications submitted by the organisation to other organisations for grants or funds.</w:t>
            </w:r>
          </w:p>
        </w:tc>
        <w:tc>
          <w:tcPr>
            <w:tcW w:w="2268" w:type="dxa"/>
          </w:tcPr>
          <w:p w14:paraId="06997E8B" w14:textId="77777777" w:rsidR="00BA20C5" w:rsidRDefault="00CC2D3C">
            <w:r>
              <w:t>Retain minimum of 7 years after grant activity has ceased and conditions of funding have been met, then destroy</w:t>
            </w:r>
          </w:p>
        </w:tc>
      </w:tr>
      <w:tr w:rsidR="00BA20C5" w14:paraId="77EEA5E3" w14:textId="77777777">
        <w:trPr>
          <w:jc w:val="center"/>
        </w:trPr>
        <w:tc>
          <w:tcPr>
            <w:tcW w:w="9072" w:type="dxa"/>
            <w:gridSpan w:val="3"/>
          </w:tcPr>
          <w:p w14:paraId="72C05D74" w14:textId="0192E9F4" w:rsidR="00BA20C5" w:rsidRDefault="00CC2D3C">
            <w:r>
              <w:rPr>
                <w:b/>
              </w:rPr>
              <w:t xml:space="preserve">Justification/Remarks: </w:t>
            </w:r>
            <w:r>
              <w:t>Previously records relating to successful applications for grants or funds which lead to the establishment of new and significant programs, events and outcomes were required as State archives, and other applications for 6 years after action completed.</w:t>
            </w:r>
          </w:p>
          <w:p w14:paraId="58CE2858" w14:textId="77777777" w:rsidR="00BA20C5" w:rsidRDefault="00CC2D3C">
            <w:r>
              <w:t xml:space="preserve">It is now proposed to remove this requirement as grant applications are routine records. Reporting on any significant programs will be retained as State archives under </w:t>
            </w:r>
            <w:r>
              <w:lastRenderedPageBreak/>
              <w:t>GA28 GOVERNMENT RELATIONS - Reporting or in the relevant class for the program in the functional retention and disposal authorities.</w:t>
            </w:r>
          </w:p>
        </w:tc>
      </w:tr>
      <w:tr w:rsidR="00BA20C5" w14:paraId="13A5A0FA" w14:textId="77777777">
        <w:trPr>
          <w:jc w:val="center"/>
        </w:trPr>
        <w:tc>
          <w:tcPr>
            <w:tcW w:w="992" w:type="dxa"/>
          </w:tcPr>
          <w:p w14:paraId="195EE137" w14:textId="77777777" w:rsidR="00BA20C5" w:rsidRDefault="00CC2D3C">
            <w:r>
              <w:lastRenderedPageBreak/>
              <w:t>19.8.4</w:t>
            </w:r>
          </w:p>
          <w:p w14:paraId="67F2B63F" w14:textId="77777777" w:rsidR="00BA20C5" w:rsidRDefault="00CC2D3C">
            <w:r>
              <w:rPr>
                <w:rStyle w:val="HiddenChar"/>
              </w:rPr>
              <w:t>STRATEGIC MANAGEMENT - Grant funding &amp; allocation</w:t>
            </w:r>
          </w:p>
        </w:tc>
        <w:tc>
          <w:tcPr>
            <w:tcW w:w="5812" w:type="dxa"/>
          </w:tcPr>
          <w:p w14:paraId="654682B9" w14:textId="6BDC2B3D" w:rsidR="00BA20C5" w:rsidRDefault="00CC2D3C">
            <w:r>
              <w:t>Records relating to unsuccessful applications for grants or funds submitted by the organisation to other organ</w:t>
            </w:r>
            <w:r w:rsidR="0043201E">
              <w:t>i</w:t>
            </w:r>
            <w:r>
              <w:t>sations.</w:t>
            </w:r>
          </w:p>
        </w:tc>
        <w:tc>
          <w:tcPr>
            <w:tcW w:w="2268" w:type="dxa"/>
          </w:tcPr>
          <w:p w14:paraId="5D11EC5D" w14:textId="77777777" w:rsidR="00BA20C5" w:rsidRDefault="00CC2D3C">
            <w:r>
              <w:t>Retain minimum of 2 years after action completed, then destroy</w:t>
            </w:r>
          </w:p>
        </w:tc>
      </w:tr>
      <w:tr w:rsidR="00BA20C5" w14:paraId="03369198" w14:textId="77777777">
        <w:trPr>
          <w:jc w:val="center"/>
        </w:trPr>
        <w:tc>
          <w:tcPr>
            <w:tcW w:w="9072" w:type="dxa"/>
            <w:gridSpan w:val="3"/>
          </w:tcPr>
          <w:p w14:paraId="541D4D98" w14:textId="5427B898" w:rsidR="00BA20C5" w:rsidRDefault="00CC2D3C">
            <w:r>
              <w:rPr>
                <w:b/>
              </w:rPr>
              <w:t xml:space="preserve">Justification/Remarks: </w:t>
            </w:r>
            <w:r>
              <w:t>Added text to clarify difference between the organisation submitting and organisation receiving applications.</w:t>
            </w:r>
          </w:p>
        </w:tc>
      </w:tr>
      <w:tr w:rsidR="00BA20C5" w14:paraId="3E8B0CE6" w14:textId="77777777">
        <w:trPr>
          <w:jc w:val="center"/>
        </w:trPr>
        <w:tc>
          <w:tcPr>
            <w:tcW w:w="992" w:type="dxa"/>
          </w:tcPr>
          <w:p w14:paraId="5F7C31BC" w14:textId="77777777" w:rsidR="00BA20C5" w:rsidRDefault="00CC2D3C">
            <w:r>
              <w:t>19.8.5</w:t>
            </w:r>
          </w:p>
          <w:p w14:paraId="3A8CD802" w14:textId="77777777" w:rsidR="00BA20C5" w:rsidRDefault="00CC2D3C">
            <w:r>
              <w:rPr>
                <w:rStyle w:val="HiddenChar"/>
              </w:rPr>
              <w:t>STRATEGIC MANAGEMENT - Grant funding &amp; allocation</w:t>
            </w:r>
          </w:p>
        </w:tc>
        <w:tc>
          <w:tcPr>
            <w:tcW w:w="5812" w:type="dxa"/>
          </w:tcPr>
          <w:p w14:paraId="4847A5FC" w14:textId="77777777" w:rsidR="00BA20C5" w:rsidRDefault="00CC2D3C">
            <w:r>
              <w:t>Registers or summary records of applications for grants or funding made to the organisation that identify the nature of the application and reasons for acceptance or rejection.</w:t>
            </w:r>
          </w:p>
        </w:tc>
        <w:tc>
          <w:tcPr>
            <w:tcW w:w="2268" w:type="dxa"/>
          </w:tcPr>
          <w:p w14:paraId="7FB7858A" w14:textId="77777777" w:rsidR="00BA20C5" w:rsidRDefault="00CC2D3C">
            <w:r>
              <w:t>Required as State archives</w:t>
            </w:r>
          </w:p>
        </w:tc>
      </w:tr>
      <w:tr w:rsidR="00BA20C5" w14:paraId="77361D21" w14:textId="77777777">
        <w:trPr>
          <w:jc w:val="center"/>
        </w:trPr>
        <w:tc>
          <w:tcPr>
            <w:tcW w:w="9072" w:type="dxa"/>
            <w:gridSpan w:val="3"/>
          </w:tcPr>
          <w:p w14:paraId="777AA081" w14:textId="77777777" w:rsidR="00BA20C5" w:rsidRDefault="00CC2D3C">
            <w:r>
              <w:rPr>
                <w:b/>
              </w:rPr>
              <w:t xml:space="preserve">Justification/Remarks: </w:t>
            </w:r>
            <w:r>
              <w:t>New entry to allow GA28 to be used for grant and funding applications received by the organisation rather than having to cover them in individual functional retention and disposal authorities. This will standardise the decisions applying to grant records. Retention of summary records of grant applications received is consistent with a number of existing retention and disposal authorities and with Victoria and National Archives of Australia.</w:t>
            </w:r>
          </w:p>
          <w:p w14:paraId="366C639C" w14:textId="77777777" w:rsidR="00BA20C5" w:rsidRDefault="00CC2D3C">
            <w:r>
              <w:t>Summary records document the nature of assistance provided by government to support the implementation of services and address issues.</w:t>
            </w:r>
          </w:p>
        </w:tc>
      </w:tr>
      <w:tr w:rsidR="00BA20C5" w14:paraId="16EB6A2B" w14:textId="77777777">
        <w:trPr>
          <w:jc w:val="center"/>
        </w:trPr>
        <w:tc>
          <w:tcPr>
            <w:tcW w:w="992" w:type="dxa"/>
          </w:tcPr>
          <w:p w14:paraId="72086370" w14:textId="77777777" w:rsidR="00BA20C5" w:rsidRDefault="00CC2D3C">
            <w:r>
              <w:t>19.8.7</w:t>
            </w:r>
          </w:p>
          <w:p w14:paraId="46DBA19E" w14:textId="77777777" w:rsidR="00BA20C5" w:rsidRDefault="00CC2D3C">
            <w:r>
              <w:rPr>
                <w:rStyle w:val="HiddenChar"/>
              </w:rPr>
              <w:t>STRATEGIC MANAGEMENT - Grant funding &amp; allocation</w:t>
            </w:r>
          </w:p>
        </w:tc>
        <w:tc>
          <w:tcPr>
            <w:tcW w:w="5812" w:type="dxa"/>
          </w:tcPr>
          <w:p w14:paraId="72D413D2" w14:textId="77777777" w:rsidR="00BA20C5" w:rsidRDefault="00CC2D3C">
            <w:r>
              <w:t>Records of applications for grants or funding made to the organisation that are approved. Includes applications and supporting documents, determinations, correspondence with recipients, advice, acquittal, complaints, progress reports etc.</w:t>
            </w:r>
          </w:p>
          <w:p w14:paraId="4D094EEF" w14:textId="77777777" w:rsidR="00BA20C5" w:rsidRDefault="00CC2D3C">
            <w:r>
              <w:t xml:space="preserve">See Functional Retention and Disposal Authority </w:t>
            </w:r>
            <w:r>
              <w:rPr>
                <w:i/>
              </w:rPr>
              <w:t xml:space="preserve">Premier's Department </w:t>
            </w:r>
            <w:r>
              <w:t>for records relating to grants approved or rejected by the Premier.</w:t>
            </w:r>
          </w:p>
          <w:p w14:paraId="1F308A47" w14:textId="77777777" w:rsidR="0043201E" w:rsidRDefault="00CC2D3C" w:rsidP="0043201E">
            <w:r>
              <w:t xml:space="preserve">See General Retention and Disposal Authority </w:t>
            </w:r>
            <w:r>
              <w:rPr>
                <w:i/>
              </w:rPr>
              <w:t xml:space="preserve">Records of a Ministers' Office </w:t>
            </w:r>
            <w:r>
              <w:t>for records relating to grants approved or rejected by Ministers.</w:t>
            </w:r>
          </w:p>
          <w:p w14:paraId="75FA1749" w14:textId="77777777" w:rsidR="00BA20C5" w:rsidRDefault="00CC2D3C" w:rsidP="0043201E">
            <w:r>
              <w:t xml:space="preserve">See Functional Retention and Disposal Authority </w:t>
            </w:r>
            <w:r>
              <w:rPr>
                <w:i/>
              </w:rPr>
              <w:t xml:space="preserve">Service NSW </w:t>
            </w:r>
            <w:r>
              <w:t>for applications managed by Service NSW.</w:t>
            </w:r>
          </w:p>
          <w:p w14:paraId="3FEEE2B5" w14:textId="7B80FD2E" w:rsidR="00D347FD" w:rsidRDefault="00D347FD" w:rsidP="00D347FD">
            <w:r>
              <w:t xml:space="preserve">See </w:t>
            </w:r>
            <w:r w:rsidRPr="00D347FD">
              <w:rPr>
                <w:i/>
                <w:iCs/>
              </w:rPr>
              <w:t>General retention and disposal authority: local government</w:t>
            </w:r>
            <w:r>
              <w:t xml:space="preserve"> for applications managed by councils.</w:t>
            </w:r>
          </w:p>
        </w:tc>
        <w:tc>
          <w:tcPr>
            <w:tcW w:w="2268" w:type="dxa"/>
          </w:tcPr>
          <w:p w14:paraId="4A7C202E" w14:textId="77777777" w:rsidR="00BA20C5" w:rsidRDefault="00CC2D3C">
            <w:r>
              <w:t>Retain minimum of 7 years after grant activity has ceased and conditions of funding have been met, then destroy</w:t>
            </w:r>
          </w:p>
        </w:tc>
      </w:tr>
      <w:tr w:rsidR="00BA20C5" w14:paraId="26732BF5" w14:textId="77777777">
        <w:trPr>
          <w:jc w:val="center"/>
        </w:trPr>
        <w:tc>
          <w:tcPr>
            <w:tcW w:w="9072" w:type="dxa"/>
            <w:gridSpan w:val="3"/>
          </w:tcPr>
          <w:p w14:paraId="6054A4D9" w14:textId="15E8F227" w:rsidR="00BA20C5" w:rsidRDefault="00CC2D3C">
            <w:r>
              <w:rPr>
                <w:b/>
              </w:rPr>
              <w:t xml:space="preserve">Justification/Remarks: </w:t>
            </w:r>
            <w:r>
              <w:t>New entry to allow GA28 to be used for grant and funding applications received by the organisation rather than having to cover them in individual functional retention and disposal authorities. This will standardise the decisions applying to grant records. Confirms Board decision of 27 retention and disposal authorities.</w:t>
            </w:r>
          </w:p>
          <w:p w14:paraId="2A44FFA3" w14:textId="29CD1701" w:rsidR="00BA20C5" w:rsidRDefault="00CC2D3C">
            <w:r>
              <w:lastRenderedPageBreak/>
              <w:t>It does not apply to grants considered by the Premier or Ministers which are covered in the retention and disposal authorities for Premier's Department and Ministers' Offices</w:t>
            </w:r>
            <w:r w:rsidR="0043201E">
              <w:t>, or grants managed by S</w:t>
            </w:r>
            <w:r>
              <w:t>ervice NSW</w:t>
            </w:r>
            <w:r w:rsidR="0043201E">
              <w:t>.</w:t>
            </w:r>
          </w:p>
          <w:p w14:paraId="340FCBC9" w14:textId="531A093C" w:rsidR="00BA20C5" w:rsidRDefault="0043201E">
            <w:r>
              <w:t>This is co</w:t>
            </w:r>
            <w:r w:rsidR="00CC2D3C">
              <w:t>nsistent with Victoria, Northern Territory, Western Australian, Queensland, Tasmania (for receipt of grant funds and administration), National Archives of Australia.</w:t>
            </w:r>
          </w:p>
          <w:p w14:paraId="5D09A101" w14:textId="77777777" w:rsidR="00BA20C5" w:rsidRDefault="00CC2D3C">
            <w:r>
              <w:t>Retention period allows for ongoing administrative, accountability or reference purposes. It also encompasses limitation periods for potential legal action or disputes concerning fulfilment of terms and conditions of the grant approved for the applicant. Summary records of successful application are required as State archives (19.8.5).</w:t>
            </w:r>
          </w:p>
          <w:p w14:paraId="55728C0A" w14:textId="77777777" w:rsidR="00BA20C5" w:rsidRDefault="00CC2D3C">
            <w:r>
              <w:t>The entry in FA372, requiring applications for grants to be retained as State archives, will be superseded by this entry.</w:t>
            </w:r>
          </w:p>
        </w:tc>
      </w:tr>
      <w:tr w:rsidR="00BA20C5" w14:paraId="37CC20E8" w14:textId="77777777">
        <w:trPr>
          <w:jc w:val="center"/>
        </w:trPr>
        <w:tc>
          <w:tcPr>
            <w:tcW w:w="992" w:type="dxa"/>
          </w:tcPr>
          <w:p w14:paraId="2B6A250E" w14:textId="77777777" w:rsidR="00BA20C5" w:rsidRDefault="00CC2D3C">
            <w:r>
              <w:lastRenderedPageBreak/>
              <w:t>19.8.8</w:t>
            </w:r>
          </w:p>
          <w:p w14:paraId="221C55C4" w14:textId="77777777" w:rsidR="00BA20C5" w:rsidRDefault="00CC2D3C">
            <w:r>
              <w:rPr>
                <w:rStyle w:val="HiddenChar"/>
              </w:rPr>
              <w:t>STRATEGIC MANAGEMENT - Grant funding &amp; allocation</w:t>
            </w:r>
          </w:p>
        </w:tc>
        <w:tc>
          <w:tcPr>
            <w:tcW w:w="5812" w:type="dxa"/>
          </w:tcPr>
          <w:p w14:paraId="34130537" w14:textId="77777777" w:rsidR="00BA20C5" w:rsidRDefault="00CC2D3C">
            <w:r>
              <w:t xml:space="preserve">Records of applications for grants or funding made to the organisation that are unsuccessful or withdrawn. Includes complaints and appeals (where applicable), determinations, correspondence etc </w:t>
            </w:r>
          </w:p>
        </w:tc>
        <w:tc>
          <w:tcPr>
            <w:tcW w:w="2268" w:type="dxa"/>
          </w:tcPr>
          <w:p w14:paraId="58BBCD9F" w14:textId="77777777" w:rsidR="00BA20C5" w:rsidRDefault="00CC2D3C">
            <w:r>
              <w:t>Retain minimum of 2 years after action completed, then destroy</w:t>
            </w:r>
          </w:p>
        </w:tc>
      </w:tr>
      <w:tr w:rsidR="00BA20C5" w14:paraId="6F9D1E18" w14:textId="77777777">
        <w:trPr>
          <w:jc w:val="center"/>
        </w:trPr>
        <w:tc>
          <w:tcPr>
            <w:tcW w:w="9072" w:type="dxa"/>
            <w:gridSpan w:val="3"/>
          </w:tcPr>
          <w:p w14:paraId="2D173D73" w14:textId="77777777" w:rsidR="00BA20C5" w:rsidRDefault="00CC2D3C">
            <w:r>
              <w:rPr>
                <w:b/>
              </w:rPr>
              <w:t xml:space="preserve">Justification/Remarks: </w:t>
            </w:r>
            <w:r>
              <w:t>New entry to allow GA28 to be used for grant and funding applications received by the organisation rather than having to cover them in individual functional retention and disposal authorities. This will standardise the decisions applying to grant records. Consistent with a number of disposal authorities applying in NSW as well as Western Australian, Victoria, Northern Territory, South Australia, National Archives of Australia and Queensland.</w:t>
            </w:r>
          </w:p>
        </w:tc>
      </w:tr>
    </w:tbl>
    <w:p w14:paraId="79987D32" w14:textId="77777777" w:rsidR="00CC2D3C" w:rsidRDefault="00CC2D3C"/>
    <w:sectPr w:rsidR="00CC2D3C" w:rsidSect="00BA20C5">
      <w:headerReference w:type="even" r:id="rId13"/>
      <w:headerReference w:type="default" r:id="rId14"/>
      <w:footerReference w:type="default" r:id="rId15"/>
      <w:headerReference w:type="first" r:id="rId16"/>
      <w:footerReference w:type="first" r:id="rId17"/>
      <w:pgSz w:w="11907" w:h="16840" w:code="9"/>
      <w:pgMar w:top="1418" w:right="1418" w:bottom="1418" w:left="1418" w:header="567" w:footer="567" w:gutter="0"/>
      <w:paperSrc w:first="11" w:other="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6C11B" w14:textId="77777777" w:rsidR="00BA20C5" w:rsidRDefault="00CC2D3C">
      <w:r>
        <w:separator/>
      </w:r>
    </w:p>
  </w:endnote>
  <w:endnote w:type="continuationSeparator" w:id="0">
    <w:p w14:paraId="10D1D1CE" w14:textId="77777777" w:rsidR="00BA20C5" w:rsidRDefault="00CC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rtugal">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285F0" w14:textId="77777777" w:rsidR="00BA20C5" w:rsidRDefault="00CC2D3C">
    <w:pPr>
      <w:tabs>
        <w:tab w:val="right" w:pos="9072"/>
      </w:tabs>
      <w:rPr>
        <w:smallCaps/>
        <w:sz w:val="18"/>
      </w:rPr>
    </w:pPr>
    <w:r>
      <w:rPr>
        <w:sz w:val="18"/>
      </w:rPr>
      <w:t>State Archives and Records Authority of New South Wales</w:t>
    </w:r>
    <w:r>
      <w:rPr>
        <w:sz w:val="18"/>
      </w:rPr>
      <w:tab/>
    </w:r>
    <w:r w:rsidR="00BA20C5">
      <w:rPr>
        <w:sz w:val="18"/>
      </w:rPr>
      <w:fldChar w:fldCharType="begin"/>
    </w:r>
    <w:r>
      <w:rPr>
        <w:sz w:val="18"/>
      </w:rPr>
      <w:instrText xml:space="preserve">PAGE </w:instrText>
    </w:r>
    <w:r w:rsidR="00733134">
      <w:rPr>
        <w:sz w:val="18"/>
      </w:rPr>
      <w:fldChar w:fldCharType="separate"/>
    </w:r>
    <w:r w:rsidR="00BA20C5">
      <w:rPr>
        <w:sz w:val="18"/>
      </w:rPr>
      <w:fldChar w:fldCharType="end"/>
    </w:r>
    <w:r>
      <w:rPr>
        <w:sz w:val="18"/>
      </w:rPr>
      <w:t xml:space="preserve"> of </w:t>
    </w:r>
    <w:r w:rsidR="00BA20C5">
      <w:rPr>
        <w:sz w:val="18"/>
      </w:rPr>
      <w:fldChar w:fldCharType="begin"/>
    </w:r>
    <w:r>
      <w:rPr>
        <w:sz w:val="18"/>
      </w:rPr>
      <w:instrText>=</w:instrText>
    </w:r>
    <w:r w:rsidR="00BA20C5">
      <w:rPr>
        <w:sz w:val="18"/>
      </w:rPr>
      <w:fldChar w:fldCharType="begin"/>
    </w:r>
    <w:r>
      <w:rPr>
        <w:sz w:val="18"/>
      </w:rPr>
      <w:instrText xml:space="preserve">NUMPAGES </w:instrText>
    </w:r>
    <w:r w:rsidR="00733134">
      <w:rPr>
        <w:sz w:val="18"/>
      </w:rPr>
      <w:fldChar w:fldCharType="separate"/>
    </w:r>
    <w:r w:rsidR="00BA20C5">
      <w:rPr>
        <w:sz w:val="18"/>
      </w:rPr>
      <w:fldChar w:fldCharType="end"/>
    </w:r>
    <w:r>
      <w:rPr>
        <w:sz w:val="18"/>
      </w:rPr>
      <w:instrText>-0</w:instrText>
    </w:r>
    <w:r w:rsidR="00733134">
      <w:rPr>
        <w:sz w:val="18"/>
      </w:rPr>
      <w:fldChar w:fldCharType="separate"/>
    </w:r>
    <w:r w:rsidR="00BA20C5">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F3999" w14:textId="449A25BA" w:rsidR="00BA20C5" w:rsidRDefault="00CC2D3C">
    <w:pPr>
      <w:tabs>
        <w:tab w:val="right" w:pos="9072"/>
      </w:tabs>
      <w:rPr>
        <w:smallCaps/>
        <w:sz w:val="18"/>
      </w:rPr>
    </w:pPr>
    <w:r>
      <w:rPr>
        <w:sz w:val="18"/>
      </w:rPr>
      <w:t xml:space="preserve">State Records </w:t>
    </w:r>
    <w:r w:rsidR="006E0072">
      <w:rPr>
        <w:sz w:val="18"/>
      </w:rPr>
      <w:t>NSW</w:t>
    </w:r>
    <w:r>
      <w:rPr>
        <w:sz w:val="18"/>
      </w:rPr>
      <w:tab/>
    </w:r>
    <w:r w:rsidR="00BA20C5">
      <w:rPr>
        <w:sz w:val="18"/>
      </w:rPr>
      <w:fldChar w:fldCharType="begin"/>
    </w:r>
    <w:r>
      <w:rPr>
        <w:sz w:val="18"/>
      </w:rPr>
      <w:instrText xml:space="preserve">PAGE </w:instrText>
    </w:r>
    <w:r w:rsidR="00BA20C5">
      <w:rPr>
        <w:sz w:val="18"/>
      </w:rPr>
      <w:fldChar w:fldCharType="separate"/>
    </w:r>
    <w:r w:rsidR="006E0072">
      <w:rPr>
        <w:noProof/>
        <w:sz w:val="18"/>
      </w:rPr>
      <w:t>1</w:t>
    </w:r>
    <w:r w:rsidR="00BA20C5">
      <w:rPr>
        <w:sz w:val="18"/>
      </w:rPr>
      <w:fldChar w:fldCharType="end"/>
    </w:r>
    <w:r>
      <w:rPr>
        <w:sz w:val="18"/>
      </w:rPr>
      <w:t xml:space="preserve"> of </w:t>
    </w:r>
    <w:r w:rsidR="00BA20C5">
      <w:rPr>
        <w:sz w:val="18"/>
      </w:rPr>
      <w:fldChar w:fldCharType="begin"/>
    </w:r>
    <w:r>
      <w:rPr>
        <w:sz w:val="18"/>
      </w:rPr>
      <w:instrText>=</w:instrText>
    </w:r>
    <w:r w:rsidR="00BA20C5">
      <w:rPr>
        <w:sz w:val="18"/>
      </w:rPr>
      <w:fldChar w:fldCharType="begin"/>
    </w:r>
    <w:r>
      <w:rPr>
        <w:sz w:val="18"/>
      </w:rPr>
      <w:instrText xml:space="preserve">NUMPAGES </w:instrText>
    </w:r>
    <w:r w:rsidR="00BA20C5">
      <w:rPr>
        <w:sz w:val="18"/>
      </w:rPr>
      <w:fldChar w:fldCharType="separate"/>
    </w:r>
    <w:r w:rsidR="00733134">
      <w:rPr>
        <w:noProof/>
        <w:sz w:val="18"/>
      </w:rPr>
      <w:instrText>9</w:instrText>
    </w:r>
    <w:r w:rsidR="00BA20C5">
      <w:rPr>
        <w:sz w:val="18"/>
      </w:rPr>
      <w:fldChar w:fldCharType="end"/>
    </w:r>
    <w:r>
      <w:rPr>
        <w:sz w:val="18"/>
      </w:rPr>
      <w:instrText>-0</w:instrText>
    </w:r>
    <w:r w:rsidR="00BA20C5">
      <w:rPr>
        <w:sz w:val="18"/>
      </w:rPr>
      <w:fldChar w:fldCharType="separate"/>
    </w:r>
    <w:r w:rsidR="00733134">
      <w:rPr>
        <w:noProof/>
        <w:sz w:val="18"/>
      </w:rPr>
      <w:t>9</w:t>
    </w:r>
    <w:r w:rsidR="00BA20C5">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FFFB1" w14:textId="78AF89F6" w:rsidR="00BA20C5" w:rsidRDefault="00CC2D3C">
    <w:pPr>
      <w:tabs>
        <w:tab w:val="right" w:pos="9072"/>
      </w:tabs>
      <w:rPr>
        <w:smallCaps/>
        <w:sz w:val="18"/>
      </w:rPr>
    </w:pPr>
    <w:r>
      <w:rPr>
        <w:sz w:val="18"/>
      </w:rPr>
      <w:t xml:space="preserve">State Records </w:t>
    </w:r>
    <w:r w:rsidR="0043201E">
      <w:rPr>
        <w:sz w:val="18"/>
      </w:rPr>
      <w:t>NSW</w:t>
    </w:r>
    <w:r>
      <w:rPr>
        <w:sz w:val="18"/>
      </w:rPr>
      <w:tab/>
    </w:r>
    <w:r w:rsidR="00BA20C5">
      <w:rPr>
        <w:sz w:val="18"/>
      </w:rPr>
      <w:fldChar w:fldCharType="begin"/>
    </w:r>
    <w:r>
      <w:rPr>
        <w:sz w:val="18"/>
      </w:rPr>
      <w:instrText xml:space="preserve">PAGE </w:instrText>
    </w:r>
    <w:r w:rsidR="00BA20C5">
      <w:rPr>
        <w:sz w:val="18"/>
      </w:rPr>
      <w:fldChar w:fldCharType="separate"/>
    </w:r>
    <w:r w:rsidR="006E0072">
      <w:rPr>
        <w:noProof/>
        <w:sz w:val="18"/>
      </w:rPr>
      <w:t>3</w:t>
    </w:r>
    <w:r w:rsidR="00BA20C5">
      <w:rPr>
        <w:sz w:val="18"/>
      </w:rPr>
      <w:fldChar w:fldCharType="end"/>
    </w:r>
    <w:r>
      <w:rPr>
        <w:sz w:val="18"/>
      </w:rPr>
      <w:t xml:space="preserve"> of </w:t>
    </w:r>
    <w:r w:rsidR="00BA20C5">
      <w:rPr>
        <w:sz w:val="18"/>
      </w:rPr>
      <w:fldChar w:fldCharType="begin"/>
    </w:r>
    <w:r>
      <w:rPr>
        <w:sz w:val="18"/>
      </w:rPr>
      <w:instrText>=</w:instrText>
    </w:r>
    <w:r w:rsidR="00BA20C5">
      <w:rPr>
        <w:sz w:val="18"/>
      </w:rPr>
      <w:fldChar w:fldCharType="begin"/>
    </w:r>
    <w:r>
      <w:rPr>
        <w:sz w:val="18"/>
      </w:rPr>
      <w:instrText xml:space="preserve">NUMPAGES </w:instrText>
    </w:r>
    <w:r w:rsidR="00BA20C5">
      <w:rPr>
        <w:sz w:val="18"/>
      </w:rPr>
      <w:fldChar w:fldCharType="separate"/>
    </w:r>
    <w:r w:rsidR="00733134">
      <w:rPr>
        <w:noProof/>
        <w:sz w:val="18"/>
      </w:rPr>
      <w:instrText>9</w:instrText>
    </w:r>
    <w:r w:rsidR="00BA20C5">
      <w:rPr>
        <w:sz w:val="18"/>
      </w:rPr>
      <w:fldChar w:fldCharType="end"/>
    </w:r>
    <w:r>
      <w:rPr>
        <w:sz w:val="18"/>
      </w:rPr>
      <w:instrText>-0</w:instrText>
    </w:r>
    <w:r w:rsidR="00BA20C5">
      <w:rPr>
        <w:sz w:val="18"/>
      </w:rPr>
      <w:fldChar w:fldCharType="separate"/>
    </w:r>
    <w:r w:rsidR="00733134">
      <w:rPr>
        <w:noProof/>
        <w:sz w:val="18"/>
      </w:rPr>
      <w:t>9</w:t>
    </w:r>
    <w:r w:rsidR="00BA20C5">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B659" w14:textId="38B7681A" w:rsidR="00BA20C5" w:rsidRDefault="00CC2D3C">
    <w:pPr>
      <w:tabs>
        <w:tab w:val="right" w:pos="9072"/>
      </w:tabs>
      <w:rPr>
        <w:smallCaps/>
        <w:sz w:val="18"/>
      </w:rPr>
    </w:pPr>
    <w:r>
      <w:rPr>
        <w:sz w:val="18"/>
      </w:rPr>
      <w:t xml:space="preserve">State </w:t>
    </w:r>
    <w:r w:rsidR="0043201E">
      <w:rPr>
        <w:sz w:val="18"/>
      </w:rPr>
      <w:t>R</w:t>
    </w:r>
    <w:r>
      <w:rPr>
        <w:sz w:val="18"/>
      </w:rPr>
      <w:t xml:space="preserve">ecords </w:t>
    </w:r>
    <w:r w:rsidR="0043201E">
      <w:rPr>
        <w:sz w:val="18"/>
      </w:rPr>
      <w:t>NSW</w:t>
    </w:r>
    <w:r>
      <w:rPr>
        <w:sz w:val="18"/>
      </w:rPr>
      <w:tab/>
    </w:r>
    <w:r w:rsidR="00BA20C5">
      <w:rPr>
        <w:sz w:val="18"/>
      </w:rPr>
      <w:fldChar w:fldCharType="begin"/>
    </w:r>
    <w:r>
      <w:rPr>
        <w:sz w:val="18"/>
      </w:rPr>
      <w:instrText xml:space="preserve">PAGE </w:instrText>
    </w:r>
    <w:r w:rsidR="00BA20C5">
      <w:rPr>
        <w:sz w:val="18"/>
      </w:rPr>
      <w:fldChar w:fldCharType="separate"/>
    </w:r>
    <w:r w:rsidR="006E0072">
      <w:rPr>
        <w:noProof/>
        <w:sz w:val="18"/>
      </w:rPr>
      <w:t>2</w:t>
    </w:r>
    <w:r w:rsidR="00BA20C5">
      <w:rPr>
        <w:sz w:val="18"/>
      </w:rPr>
      <w:fldChar w:fldCharType="end"/>
    </w:r>
    <w:r>
      <w:rPr>
        <w:sz w:val="18"/>
      </w:rPr>
      <w:t xml:space="preserve"> of </w:t>
    </w:r>
    <w:r w:rsidR="00BA20C5">
      <w:rPr>
        <w:sz w:val="18"/>
      </w:rPr>
      <w:fldChar w:fldCharType="begin"/>
    </w:r>
    <w:r>
      <w:rPr>
        <w:sz w:val="18"/>
      </w:rPr>
      <w:instrText>=</w:instrText>
    </w:r>
    <w:r w:rsidR="00BA20C5">
      <w:rPr>
        <w:sz w:val="18"/>
      </w:rPr>
      <w:fldChar w:fldCharType="begin"/>
    </w:r>
    <w:r>
      <w:rPr>
        <w:sz w:val="18"/>
      </w:rPr>
      <w:instrText xml:space="preserve">NUMPAGES </w:instrText>
    </w:r>
    <w:r w:rsidR="00BA20C5">
      <w:rPr>
        <w:sz w:val="18"/>
      </w:rPr>
      <w:fldChar w:fldCharType="separate"/>
    </w:r>
    <w:r w:rsidR="00733134">
      <w:rPr>
        <w:noProof/>
        <w:sz w:val="18"/>
      </w:rPr>
      <w:instrText>9</w:instrText>
    </w:r>
    <w:r w:rsidR="00BA20C5">
      <w:rPr>
        <w:sz w:val="18"/>
      </w:rPr>
      <w:fldChar w:fldCharType="end"/>
    </w:r>
    <w:r>
      <w:rPr>
        <w:sz w:val="18"/>
      </w:rPr>
      <w:instrText>-0</w:instrText>
    </w:r>
    <w:r w:rsidR="00BA20C5">
      <w:rPr>
        <w:sz w:val="18"/>
      </w:rPr>
      <w:fldChar w:fldCharType="separate"/>
    </w:r>
    <w:r w:rsidR="00733134">
      <w:rPr>
        <w:noProof/>
        <w:sz w:val="18"/>
      </w:rPr>
      <w:t>9</w:t>
    </w:r>
    <w:r w:rsidR="00BA20C5">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4ECC3" w14:textId="77777777" w:rsidR="00BA20C5" w:rsidRDefault="00CC2D3C">
      <w:r>
        <w:separator/>
      </w:r>
    </w:p>
  </w:footnote>
  <w:footnote w:type="continuationSeparator" w:id="0">
    <w:p w14:paraId="0A37F1C7" w14:textId="77777777" w:rsidR="00BA20C5" w:rsidRDefault="00CC2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C5A31" w14:textId="62ABA904" w:rsidR="00CC2D3C" w:rsidRDefault="00733134">
    <w:pPr>
      <w:pStyle w:val="Header"/>
    </w:pPr>
    <w:r>
      <w:rPr>
        <w:noProof/>
      </w:rPr>
      <w:pict w14:anchorId="1BC7F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30657" o:spid="_x0000_s1026" type="#_x0000_t136" style="position:absolute;margin-left:0;margin-top:0;width:479.6pt;height:159.8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61811" w14:textId="3F7C00B9" w:rsidR="00BA20C5" w:rsidRDefault="00733134">
    <w:pPr>
      <w:pStyle w:val="Subtitle"/>
    </w:pPr>
    <w:r>
      <w:rPr>
        <w:noProof/>
      </w:rPr>
      <w:pict w14:anchorId="0919D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30658" o:spid="_x0000_s1027" type="#_x0000_t136" style="position:absolute;left:0;text-align:left;margin-left:0;margin-top:0;width:479.6pt;height:159.8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p w14:paraId="76A64E0A" w14:textId="77777777" w:rsidR="00BA20C5" w:rsidRDefault="00CC2D3C">
    <w:pPr>
      <w:pStyle w:val="Heading4"/>
      <w:tabs>
        <w:tab w:val="right" w:pos="9072"/>
      </w:tabs>
      <w:rPr>
        <w:bCs/>
      </w:rPr>
    </w:pPr>
    <w:r>
      <w:rPr>
        <w:bCs/>
      </w:rPr>
      <w:t>Authority number: DRAFT</w:t>
    </w:r>
    <w:r>
      <w:rPr>
        <w:bCs/>
      </w:rPr>
      <w:tab/>
      <w:t>Dates of coverage: Open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061"/>
    </w:tblGrid>
    <w:tr w:rsidR="00BA20C5" w14:paraId="39B63601" w14:textId="77777777">
      <w:trPr>
        <w:cantSplit/>
      </w:trPr>
      <w:tc>
        <w:tcPr>
          <w:tcW w:w="5000" w:type="pct"/>
        </w:tcPr>
        <w:p w14:paraId="650CDE3A" w14:textId="77777777" w:rsidR="00BA20C5" w:rsidRDefault="00CC2D3C">
          <w:pPr>
            <w:spacing w:before="60" w:after="60"/>
            <w:rPr>
              <w:b/>
              <w:sz w:val="16"/>
            </w:rPr>
          </w:pPr>
          <w:r>
            <w:rPr>
              <w:b/>
              <w:sz w:val="16"/>
            </w:rPr>
            <w:t>List of Functions and Activities covered</w:t>
          </w:r>
        </w:p>
      </w:tc>
    </w:tr>
  </w:tbl>
  <w:p w14:paraId="1E42A386" w14:textId="77777777" w:rsidR="00BA20C5" w:rsidRDefault="00BA20C5">
    <w:pP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A1E5A" w14:textId="2A8E23C6" w:rsidR="00BA20C5" w:rsidRDefault="00733134">
    <w:pPr>
      <w:pStyle w:val="Subtitle"/>
    </w:pPr>
    <w:r>
      <w:rPr>
        <w:noProof/>
      </w:rPr>
      <w:pict w14:anchorId="26BC8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30656" o:spid="_x0000_s1025" type="#_x0000_t136" style="position:absolute;left:0;text-align:left;margin-left:0;margin-top:0;width:479.6pt;height:159.8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CC2D3C">
      <w:t xml:space="preserve">DRAFT </w:t>
    </w:r>
    <w:r w:rsidR="006E0072">
      <w:t>–</w:t>
    </w:r>
    <w:r w:rsidR="00CC2D3C">
      <w:t xml:space="preserve"> </w:t>
    </w:r>
    <w:r w:rsidR="006E0072">
      <w:t>Amendments to GA28</w:t>
    </w:r>
    <w:r w:rsidR="00CC2D3C">
      <w:br/>
    </w:r>
  </w:p>
  <w:p w14:paraId="1CEB2981" w14:textId="0601BC38" w:rsidR="00BA20C5" w:rsidRDefault="00CC2D3C">
    <w:pPr>
      <w:pStyle w:val="Heading4"/>
      <w:tabs>
        <w:tab w:val="right" w:pos="9072"/>
      </w:tabs>
      <w:rPr>
        <w:bCs/>
      </w:rPr>
    </w:pPr>
    <w:r>
      <w:rPr>
        <w:bCs/>
      </w:rPr>
      <w:t xml:space="preserve">Authority number: </w:t>
    </w:r>
    <w:r w:rsidR="006E0072">
      <w:rPr>
        <w:bCs/>
      </w:rPr>
      <w:t>GA28</w:t>
    </w:r>
    <w:r>
      <w:rPr>
        <w:bCs/>
      </w:rPr>
      <w:tab/>
      <w:t>Dates of coverage: Open</w:t>
    </w:r>
    <w:r w:rsidR="006E0072">
      <w:rPr>
        <w:bCs/>
      </w:rPr>
      <w:t xml:space="preserve"> (1940 date limiter removed)</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061"/>
    </w:tblGrid>
    <w:tr w:rsidR="00BA20C5" w14:paraId="23922937" w14:textId="77777777">
      <w:trPr>
        <w:cantSplit/>
      </w:trPr>
      <w:tc>
        <w:tcPr>
          <w:tcW w:w="5000" w:type="pct"/>
        </w:tcPr>
        <w:p w14:paraId="04A4064B" w14:textId="77777777" w:rsidR="00BA20C5" w:rsidRDefault="00CC2D3C">
          <w:pPr>
            <w:spacing w:before="60" w:after="60"/>
            <w:rPr>
              <w:b/>
              <w:sz w:val="16"/>
            </w:rPr>
          </w:pPr>
          <w:r>
            <w:rPr>
              <w:b/>
              <w:sz w:val="16"/>
            </w:rPr>
            <w:t>List of Functions and Activities covered</w:t>
          </w:r>
        </w:p>
      </w:tc>
    </w:tr>
  </w:tbl>
  <w:p w14:paraId="3943DEC6" w14:textId="77777777" w:rsidR="00BA20C5" w:rsidRDefault="00BA20C5">
    <w:pPr>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FE46B" w14:textId="034D1662" w:rsidR="00CC2D3C" w:rsidRDefault="00733134">
    <w:pPr>
      <w:pStyle w:val="Header"/>
    </w:pPr>
    <w:r>
      <w:rPr>
        <w:noProof/>
      </w:rPr>
      <w:pict w14:anchorId="11018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30660" o:spid="_x0000_s1029" type="#_x0000_t136" style="position:absolute;margin-left:0;margin-top:0;width:479.6pt;height:159.85pt;rotation:315;z-index:-25164902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CD941" w14:textId="0D9D7CA6" w:rsidR="00BA20C5" w:rsidRDefault="00733134">
    <w:pPr>
      <w:pStyle w:val="Subtitle"/>
    </w:pPr>
    <w:r>
      <w:rPr>
        <w:noProof/>
      </w:rPr>
      <w:pict w14:anchorId="175AB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30661" o:spid="_x0000_s1030" type="#_x0000_t136" style="position:absolute;left:0;text-align:left;margin-left:0;margin-top:0;width:479.6pt;height:159.85pt;rotation:315;z-index:-25164697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p w14:paraId="0F874DCF" w14:textId="1FC77AC6" w:rsidR="00BA20C5" w:rsidRDefault="00CC2D3C">
    <w:pPr>
      <w:pStyle w:val="Heading4"/>
      <w:tabs>
        <w:tab w:val="right" w:pos="9072"/>
      </w:tabs>
      <w:rPr>
        <w:bCs/>
      </w:rPr>
    </w:pPr>
    <w:r>
      <w:rPr>
        <w:bCs/>
      </w:rPr>
      <w:t xml:space="preserve">Authority number: </w:t>
    </w:r>
    <w:r w:rsidR="0043201E">
      <w:rPr>
        <w:bCs/>
      </w:rPr>
      <w:t>GA28</w:t>
    </w:r>
    <w:r>
      <w:rPr>
        <w:bCs/>
      </w:rPr>
      <w:tab/>
      <w:t>Dates of coverage: Open</w:t>
    </w:r>
    <w:r w:rsidR="0043201E">
      <w:rPr>
        <w:bCs/>
      </w:rPr>
      <w:t xml:space="preserve"> (1940 date limiter removed)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92"/>
      <w:gridCol w:w="5812"/>
      <w:gridCol w:w="2268"/>
    </w:tblGrid>
    <w:tr w:rsidR="00BA20C5" w14:paraId="5C0E6F7C" w14:textId="77777777">
      <w:trPr>
        <w:jc w:val="center"/>
      </w:trPr>
      <w:tc>
        <w:tcPr>
          <w:tcW w:w="992" w:type="dxa"/>
          <w:shd w:val="clear" w:color="auto" w:fill="auto"/>
        </w:tcPr>
        <w:p w14:paraId="54C0C4B5" w14:textId="77777777" w:rsidR="00BA20C5" w:rsidRDefault="00CC2D3C">
          <w:pPr>
            <w:spacing w:before="100" w:beforeAutospacing="1" w:after="100" w:afterAutospacing="1"/>
            <w:rPr>
              <w:b/>
              <w:szCs w:val="24"/>
            </w:rPr>
          </w:pPr>
          <w:r>
            <w:rPr>
              <w:b/>
              <w:szCs w:val="24"/>
            </w:rPr>
            <w:t>No.</w:t>
          </w:r>
        </w:p>
      </w:tc>
      <w:tc>
        <w:tcPr>
          <w:tcW w:w="5812" w:type="dxa"/>
          <w:shd w:val="clear" w:color="auto" w:fill="auto"/>
        </w:tcPr>
        <w:p w14:paraId="02472AAD" w14:textId="77777777" w:rsidR="00BA20C5" w:rsidRDefault="00CC2D3C">
          <w:pPr>
            <w:spacing w:before="100" w:beforeAutospacing="1" w:after="100" w:afterAutospacing="1"/>
            <w:rPr>
              <w:b/>
              <w:szCs w:val="24"/>
            </w:rPr>
          </w:pPr>
          <w:r>
            <w:rPr>
              <w:b/>
              <w:szCs w:val="24"/>
            </w:rPr>
            <w:t>Description of records</w:t>
          </w:r>
        </w:p>
      </w:tc>
      <w:tc>
        <w:tcPr>
          <w:tcW w:w="2268" w:type="dxa"/>
          <w:shd w:val="clear" w:color="auto" w:fill="auto"/>
        </w:tcPr>
        <w:p w14:paraId="7F3CD6EE" w14:textId="77777777" w:rsidR="00BA20C5" w:rsidRDefault="00CC2D3C">
          <w:pPr>
            <w:spacing w:before="100" w:beforeAutospacing="1" w:after="100" w:afterAutospacing="1"/>
            <w:rPr>
              <w:b/>
              <w:szCs w:val="24"/>
            </w:rPr>
          </w:pPr>
          <w:r>
            <w:rPr>
              <w:b/>
              <w:szCs w:val="24"/>
            </w:rPr>
            <w:t>Disposal action</w:t>
          </w:r>
        </w:p>
      </w:tc>
    </w:tr>
  </w:tbl>
  <w:p w14:paraId="30D7BEBD" w14:textId="11F72B6D" w:rsidR="00BA20C5" w:rsidRDefault="00BA20C5" w:rsidP="00AD2E64">
    <w:pPr>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898AD" w14:textId="0E4364B2" w:rsidR="00BA20C5" w:rsidRDefault="00733134">
    <w:pPr>
      <w:pStyle w:val="Subtitle"/>
    </w:pPr>
    <w:r>
      <w:rPr>
        <w:noProof/>
      </w:rPr>
      <w:pict w14:anchorId="16171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30659" o:spid="_x0000_s1028" type="#_x0000_t136" style="position:absolute;left:0;text-align:left;margin-left:0;margin-top:0;width:479.6pt;height:159.85pt;rotation:315;z-index:-25165107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CC2D3C">
      <w:t xml:space="preserve">DRAFT - </w:t>
    </w:r>
    <w:r w:rsidR="006E0072">
      <w:t>Amendments to GA28</w:t>
    </w:r>
    <w:r w:rsidR="006E0072">
      <w:br/>
    </w:r>
  </w:p>
  <w:p w14:paraId="1205EDD5" w14:textId="7D76DF61" w:rsidR="00BA20C5" w:rsidRDefault="00CC2D3C">
    <w:pPr>
      <w:pStyle w:val="Heading4"/>
      <w:tabs>
        <w:tab w:val="right" w:pos="9072"/>
      </w:tabs>
      <w:rPr>
        <w:bCs/>
      </w:rPr>
    </w:pPr>
    <w:r>
      <w:rPr>
        <w:bCs/>
      </w:rPr>
      <w:t xml:space="preserve">Authority number: </w:t>
    </w:r>
    <w:r w:rsidR="006E0072">
      <w:rPr>
        <w:bCs/>
      </w:rPr>
      <w:t>GA28</w:t>
    </w:r>
    <w:r>
      <w:rPr>
        <w:bCs/>
      </w:rPr>
      <w:tab/>
      <w:t>Dates of coverage: Open</w:t>
    </w:r>
    <w:r w:rsidR="006E0072">
      <w:rPr>
        <w:bCs/>
      </w:rPr>
      <w:t xml:space="preserve"> (1940 date limiter removed)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92"/>
      <w:gridCol w:w="5812"/>
      <w:gridCol w:w="2268"/>
    </w:tblGrid>
    <w:tr w:rsidR="00BA20C5" w14:paraId="1B54C270" w14:textId="77777777">
      <w:trPr>
        <w:jc w:val="center"/>
      </w:trPr>
      <w:tc>
        <w:tcPr>
          <w:tcW w:w="992" w:type="dxa"/>
          <w:shd w:val="clear" w:color="auto" w:fill="auto"/>
        </w:tcPr>
        <w:p w14:paraId="0881B4B6" w14:textId="77777777" w:rsidR="00BA20C5" w:rsidRDefault="00CC2D3C">
          <w:pPr>
            <w:spacing w:before="100" w:beforeAutospacing="1" w:after="100" w:afterAutospacing="1"/>
            <w:rPr>
              <w:b/>
              <w:szCs w:val="24"/>
            </w:rPr>
          </w:pPr>
          <w:r>
            <w:rPr>
              <w:b/>
              <w:szCs w:val="24"/>
            </w:rPr>
            <w:t>No.</w:t>
          </w:r>
        </w:p>
      </w:tc>
      <w:tc>
        <w:tcPr>
          <w:tcW w:w="5812" w:type="dxa"/>
          <w:shd w:val="clear" w:color="auto" w:fill="auto"/>
        </w:tcPr>
        <w:p w14:paraId="72FE63A9" w14:textId="77777777" w:rsidR="00BA20C5" w:rsidRDefault="00CC2D3C">
          <w:pPr>
            <w:spacing w:before="100" w:beforeAutospacing="1" w:after="100" w:afterAutospacing="1"/>
            <w:rPr>
              <w:b/>
              <w:szCs w:val="24"/>
            </w:rPr>
          </w:pPr>
          <w:r>
            <w:rPr>
              <w:b/>
              <w:szCs w:val="24"/>
            </w:rPr>
            <w:t>Description of records</w:t>
          </w:r>
        </w:p>
      </w:tc>
      <w:tc>
        <w:tcPr>
          <w:tcW w:w="2268" w:type="dxa"/>
          <w:shd w:val="clear" w:color="auto" w:fill="auto"/>
        </w:tcPr>
        <w:p w14:paraId="2442376B" w14:textId="77777777" w:rsidR="00BA20C5" w:rsidRDefault="00CC2D3C">
          <w:pPr>
            <w:spacing w:before="100" w:beforeAutospacing="1" w:after="100" w:afterAutospacing="1"/>
            <w:rPr>
              <w:b/>
              <w:szCs w:val="24"/>
            </w:rPr>
          </w:pPr>
          <w:r>
            <w:rPr>
              <w:b/>
              <w:szCs w:val="24"/>
            </w:rPr>
            <w:t>Disposal action</w:t>
          </w:r>
        </w:p>
      </w:tc>
    </w:tr>
  </w:tbl>
  <w:p w14:paraId="1DB40FDE" w14:textId="77777777" w:rsidR="00BA20C5" w:rsidRDefault="00BA20C5">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85CED1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6379764B"/>
    <w:multiLevelType w:val="multilevel"/>
    <w:tmpl w:val="D2301456"/>
    <w:lvl w:ilvl="0">
      <w:start w:val="1"/>
      <w:numFmt w:val="decimal"/>
      <w:pStyle w:val="Intern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1444501">
    <w:abstractNumId w:val="0"/>
  </w:num>
  <w:num w:numId="2" w16cid:durableId="1457137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n-AU" w:vendorID="8" w:dllVersion="513" w:checkStyle="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C5"/>
    <w:rsid w:val="00062B8D"/>
    <w:rsid w:val="001D21B7"/>
    <w:rsid w:val="004054BC"/>
    <w:rsid w:val="0043201E"/>
    <w:rsid w:val="005F5C4A"/>
    <w:rsid w:val="006775F2"/>
    <w:rsid w:val="006E0072"/>
    <w:rsid w:val="00733134"/>
    <w:rsid w:val="00750B83"/>
    <w:rsid w:val="007D5522"/>
    <w:rsid w:val="00836676"/>
    <w:rsid w:val="00885395"/>
    <w:rsid w:val="00885ACF"/>
    <w:rsid w:val="009161CD"/>
    <w:rsid w:val="009267C0"/>
    <w:rsid w:val="009F25BB"/>
    <w:rsid w:val="00A72177"/>
    <w:rsid w:val="00AD2E64"/>
    <w:rsid w:val="00BA20C5"/>
    <w:rsid w:val="00C3045D"/>
    <w:rsid w:val="00C86A92"/>
    <w:rsid w:val="00CC2D3C"/>
    <w:rsid w:val="00CF7AB5"/>
    <w:rsid w:val="00D347FD"/>
    <w:rsid w:val="00D553E8"/>
    <w:rsid w:val="00E36143"/>
    <w:rsid w:val="00E52E71"/>
    <w:rsid w:val="00EC3AE5"/>
    <w:rsid w:val="00FC4DCD"/>
  </w:rsids>
  <m:mathPr>
    <m:mathFont m:val="Cambria Math"/>
    <m:brkBin m:val="before"/>
    <m:brkBinSub m:val="--"/>
    <m:smallFrac m:val="0"/>
    <m:dispDef/>
    <m:lMargin m:val="0"/>
    <m:rMargin m:val="0"/>
    <m:defJc m:val="centerGroup"/>
    <m:wrapIndent m:val="1440"/>
    <m:intLim m:val="subSup"/>
    <m:naryLim m:val="undOvr"/>
  </m:mathPr>
  <w:attachedSchema w:val="http://www.records.nsw.gov.au/schemas/RDA"/>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7A767"/>
  <w15:docId w15:val="{8404B3BB-C025-40EF-A297-172A4D90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rtugal" w:eastAsia="Times New Roman" w:hAnsi="Portug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0C5"/>
    <w:pPr>
      <w:spacing w:before="120" w:after="120"/>
    </w:pPr>
    <w:rPr>
      <w:rFonts w:ascii="Verdana" w:hAnsi="Verdana"/>
    </w:rPr>
  </w:style>
  <w:style w:type="paragraph" w:styleId="Heading1">
    <w:name w:val="heading 1"/>
    <w:basedOn w:val="Normal"/>
    <w:next w:val="Normal"/>
    <w:qFormat/>
    <w:rsid w:val="00BA20C5"/>
    <w:pPr>
      <w:keepNext/>
      <w:spacing w:before="240"/>
      <w:ind w:left="709" w:hanging="709"/>
      <w:outlineLvl w:val="0"/>
    </w:pPr>
    <w:rPr>
      <w:b/>
      <w:sz w:val="24"/>
    </w:rPr>
  </w:style>
  <w:style w:type="paragraph" w:styleId="Heading2">
    <w:name w:val="heading 2"/>
    <w:basedOn w:val="Normal"/>
    <w:next w:val="Normal"/>
    <w:qFormat/>
    <w:rsid w:val="00BA20C5"/>
    <w:pPr>
      <w:keepNext/>
      <w:spacing w:before="180"/>
      <w:outlineLvl w:val="1"/>
    </w:pPr>
    <w:rPr>
      <w:b/>
      <w:sz w:val="22"/>
    </w:rPr>
  </w:style>
  <w:style w:type="paragraph" w:styleId="Heading3">
    <w:name w:val="heading 3"/>
    <w:basedOn w:val="Normal"/>
    <w:next w:val="Normal"/>
    <w:qFormat/>
    <w:rsid w:val="00BA20C5"/>
    <w:pPr>
      <w:keepNext/>
      <w:outlineLvl w:val="2"/>
    </w:pPr>
    <w:rPr>
      <w:b/>
    </w:rPr>
  </w:style>
  <w:style w:type="paragraph" w:styleId="Heading4">
    <w:name w:val="heading 4"/>
    <w:basedOn w:val="Normal"/>
    <w:next w:val="Normal"/>
    <w:qFormat/>
    <w:rsid w:val="00BA20C5"/>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H1">
    <w:name w:val="AR H1"/>
    <w:basedOn w:val="Heading1"/>
    <w:rsid w:val="00656F95"/>
    <w:pPr>
      <w:pBdr>
        <w:bottom w:val="single" w:sz="12" w:space="4" w:color="4F81BD"/>
      </w:pBdr>
      <w:spacing w:after="240" w:line="320" w:lineRule="atLeast"/>
      <w:ind w:left="0" w:firstLine="0"/>
    </w:pPr>
    <w:rPr>
      <w:color w:val="0070C0"/>
      <w:sz w:val="28"/>
      <w:szCs w:val="28"/>
    </w:rPr>
  </w:style>
  <w:style w:type="paragraph" w:customStyle="1" w:styleId="ARTitle">
    <w:name w:val="AR Title"/>
    <w:basedOn w:val="Title"/>
    <w:rsid w:val="00656F95"/>
    <w:pPr>
      <w:spacing w:before="360" w:after="240"/>
    </w:pPr>
    <w:rPr>
      <w:rFonts w:cs="Times New Roman"/>
      <w:bCs w:val="0"/>
      <w:color w:val="000000"/>
    </w:rPr>
  </w:style>
  <w:style w:type="paragraph" w:customStyle="1" w:styleId="ARParagraph">
    <w:name w:val="AR Paragraph"/>
    <w:rsid w:val="00FA3EC9"/>
    <w:pPr>
      <w:spacing w:before="200"/>
    </w:pPr>
    <w:rPr>
      <w:rFonts w:ascii="Verdana" w:hAnsi="Verdana"/>
      <w:sz w:val="22"/>
      <w:szCs w:val="22"/>
    </w:rPr>
  </w:style>
  <w:style w:type="paragraph" w:customStyle="1" w:styleId="ChapterHeading">
    <w:name w:val="Chapter Heading"/>
    <w:basedOn w:val="Normal"/>
    <w:rsid w:val="00BA20C5"/>
    <w:pPr>
      <w:pBdr>
        <w:bottom w:val="single" w:sz="4" w:space="1" w:color="auto"/>
      </w:pBdr>
      <w:ind w:left="709" w:hanging="709"/>
    </w:pPr>
    <w:rPr>
      <w:b/>
      <w:sz w:val="40"/>
    </w:rPr>
  </w:style>
  <w:style w:type="paragraph" w:styleId="Footer">
    <w:name w:val="footer"/>
    <w:basedOn w:val="Normal"/>
    <w:rsid w:val="00BA20C5"/>
    <w:pPr>
      <w:tabs>
        <w:tab w:val="right" w:pos="9072"/>
      </w:tabs>
      <w:spacing w:before="60" w:after="60"/>
    </w:pPr>
    <w:rPr>
      <w:sz w:val="18"/>
    </w:rPr>
  </w:style>
  <w:style w:type="paragraph" w:customStyle="1" w:styleId="FooterA4Shell">
    <w:name w:val="Footer A4 Shell"/>
    <w:basedOn w:val="Normal"/>
    <w:rsid w:val="00BA20C5"/>
    <w:pPr>
      <w:tabs>
        <w:tab w:val="right" w:pos="7655"/>
      </w:tabs>
    </w:pPr>
    <w:rPr>
      <w:sz w:val="18"/>
    </w:rPr>
  </w:style>
  <w:style w:type="character" w:styleId="FootnoteReference">
    <w:name w:val="footnote reference"/>
    <w:basedOn w:val="DefaultParagraphFont"/>
    <w:semiHidden/>
    <w:rsid w:val="00BA20C5"/>
    <w:rPr>
      <w:rFonts w:ascii="Verdana" w:hAnsi="Verdana"/>
      <w:sz w:val="18"/>
      <w:vertAlign w:val="superscript"/>
    </w:rPr>
  </w:style>
  <w:style w:type="paragraph" w:styleId="FootnoteText">
    <w:name w:val="footnote text"/>
    <w:basedOn w:val="Normal"/>
    <w:semiHidden/>
    <w:rsid w:val="00BA20C5"/>
    <w:pPr>
      <w:spacing w:before="0" w:after="0"/>
      <w:ind w:left="709" w:hanging="709"/>
    </w:pPr>
    <w:rPr>
      <w:sz w:val="18"/>
    </w:rPr>
  </w:style>
  <w:style w:type="paragraph" w:styleId="Header">
    <w:name w:val="header"/>
    <w:basedOn w:val="Normal"/>
    <w:rsid w:val="00BA20C5"/>
    <w:pPr>
      <w:tabs>
        <w:tab w:val="right" w:pos="9072"/>
      </w:tabs>
      <w:spacing w:before="0" w:after="0"/>
    </w:pPr>
    <w:rPr>
      <w:sz w:val="18"/>
    </w:rPr>
  </w:style>
  <w:style w:type="paragraph" w:customStyle="1" w:styleId="InternalHeader">
    <w:name w:val="Internal Header"/>
    <w:basedOn w:val="Normal"/>
    <w:rsid w:val="00BA20C5"/>
    <w:pPr>
      <w:jc w:val="center"/>
    </w:pPr>
    <w:rPr>
      <w:b/>
    </w:rPr>
  </w:style>
  <w:style w:type="paragraph" w:customStyle="1" w:styleId="InternalListNumber">
    <w:name w:val="Internal List Number"/>
    <w:basedOn w:val="Normal"/>
    <w:rsid w:val="00BA20C5"/>
    <w:pPr>
      <w:numPr>
        <w:numId w:val="2"/>
      </w:numPr>
      <w:spacing w:before="240"/>
    </w:pPr>
  </w:style>
  <w:style w:type="paragraph" w:customStyle="1" w:styleId="InternalSubheading">
    <w:name w:val="Internal Subheading"/>
    <w:basedOn w:val="Normal"/>
    <w:rsid w:val="00BA20C5"/>
    <w:pPr>
      <w:jc w:val="center"/>
    </w:pPr>
    <w:rPr>
      <w:b/>
    </w:rPr>
  </w:style>
  <w:style w:type="paragraph" w:customStyle="1" w:styleId="ListBullet1">
    <w:name w:val="List Bullet 1"/>
    <w:basedOn w:val="Normal"/>
    <w:rsid w:val="00BA20C5"/>
    <w:pPr>
      <w:tabs>
        <w:tab w:val="num" w:pos="709"/>
      </w:tabs>
      <w:spacing w:before="0"/>
      <w:ind w:left="709" w:hanging="709"/>
    </w:pPr>
  </w:style>
  <w:style w:type="paragraph" w:customStyle="1" w:styleId="Normalsingle">
    <w:name w:val="Normal single"/>
    <w:basedOn w:val="Normal"/>
    <w:rsid w:val="00BA20C5"/>
    <w:pPr>
      <w:spacing w:before="0" w:after="0"/>
    </w:pPr>
  </w:style>
  <w:style w:type="character" w:styleId="PageNumber">
    <w:name w:val="page number"/>
    <w:basedOn w:val="DefaultParagraphFont"/>
    <w:rsid w:val="00BA20C5"/>
    <w:rPr>
      <w:rFonts w:ascii="Verdana" w:hAnsi="Verdana"/>
      <w:sz w:val="18"/>
    </w:rPr>
  </w:style>
  <w:style w:type="paragraph" w:styleId="Subtitle">
    <w:name w:val="Subtitle"/>
    <w:basedOn w:val="Normal"/>
    <w:qFormat/>
    <w:rsid w:val="00BA20C5"/>
    <w:pPr>
      <w:jc w:val="center"/>
    </w:pPr>
    <w:rPr>
      <w:rFonts w:cs="Arial"/>
      <w:b/>
      <w:sz w:val="24"/>
      <w:szCs w:val="24"/>
    </w:rPr>
  </w:style>
  <w:style w:type="paragraph" w:styleId="Title">
    <w:name w:val="Title"/>
    <w:basedOn w:val="Normal"/>
    <w:qFormat/>
    <w:rsid w:val="00BA20C5"/>
    <w:pPr>
      <w:jc w:val="center"/>
    </w:pPr>
    <w:rPr>
      <w:rFonts w:cs="Arial"/>
      <w:b/>
      <w:bCs/>
      <w:sz w:val="32"/>
      <w:szCs w:val="32"/>
    </w:rPr>
  </w:style>
  <w:style w:type="paragraph" w:styleId="TOC1">
    <w:name w:val="toc 1"/>
    <w:basedOn w:val="Normal"/>
    <w:next w:val="Normal"/>
    <w:autoRedefine/>
    <w:semiHidden/>
    <w:rsid w:val="00BA20C5"/>
    <w:pPr>
      <w:tabs>
        <w:tab w:val="right" w:pos="9072"/>
      </w:tabs>
      <w:spacing w:before="80" w:after="80"/>
    </w:pPr>
    <w:rPr>
      <w:b/>
    </w:rPr>
  </w:style>
  <w:style w:type="paragraph" w:styleId="TOC2">
    <w:name w:val="toc 2"/>
    <w:basedOn w:val="Normal"/>
    <w:next w:val="Normal"/>
    <w:autoRedefine/>
    <w:semiHidden/>
    <w:rsid w:val="00BA20C5"/>
    <w:pPr>
      <w:tabs>
        <w:tab w:val="right" w:pos="9072"/>
      </w:tabs>
      <w:spacing w:before="80" w:after="80"/>
    </w:pPr>
  </w:style>
  <w:style w:type="table" w:styleId="TableGrid">
    <w:name w:val="Table Grid"/>
    <w:basedOn w:val="TableNormal"/>
    <w:rsid w:val="00BA20C5"/>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BA20C5"/>
    <w:rPr>
      <w:i/>
      <w:iCs/>
    </w:rPr>
  </w:style>
  <w:style w:type="character" w:styleId="Hyperlink">
    <w:name w:val="Hyperlink"/>
    <w:basedOn w:val="DefaultParagraphFont"/>
    <w:rsid w:val="00BA20C5"/>
    <w:rPr>
      <w:rFonts w:ascii="Verdana" w:hAnsi="Verdana"/>
      <w:color w:val="0000FF"/>
      <w:sz w:val="20"/>
      <w:u w:val="single"/>
    </w:rPr>
  </w:style>
  <w:style w:type="paragraph" w:customStyle="1" w:styleId="Hidden">
    <w:name w:val="Hidden"/>
    <w:basedOn w:val="Normal"/>
    <w:link w:val="HiddenChar"/>
    <w:rsid w:val="00BA20C5"/>
    <w:rPr>
      <w:vanish/>
    </w:rPr>
  </w:style>
  <w:style w:type="character" w:customStyle="1" w:styleId="HiddenChar">
    <w:name w:val="Hidden Char"/>
    <w:basedOn w:val="DefaultParagraphFont"/>
    <w:link w:val="Hidden"/>
    <w:rsid w:val="00BA20C5"/>
    <w:rPr>
      <w:rFonts w:ascii="Verdana" w:hAnsi="Verdana"/>
      <w:color w:val="FFFFFF"/>
      <w:sz w:val="1"/>
    </w:rPr>
  </w:style>
  <w:style w:type="paragraph" w:styleId="ListParagraph">
    <w:name w:val="List Paragraph"/>
    <w:basedOn w:val="Normal"/>
    <w:uiPriority w:val="34"/>
    <w:qFormat/>
    <w:rsid w:val="00D347FD"/>
    <w:pPr>
      <w:ind w:left="720"/>
      <w:contextualSpacing/>
    </w:pPr>
  </w:style>
  <w:style w:type="paragraph" w:customStyle="1" w:styleId="Default">
    <w:name w:val="Default"/>
    <w:rsid w:val="00885AC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A3AD2-AC72-4A21-8E33-A8D881671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McGing</dc:creator>
  <cp:keywords/>
  <dc:description/>
  <cp:lastModifiedBy>Rianna Cawley</cp:lastModifiedBy>
  <cp:revision>3</cp:revision>
  <dcterms:created xsi:type="dcterms:W3CDTF">2024-10-11T00:37:00Z</dcterms:created>
  <dcterms:modified xsi:type="dcterms:W3CDTF">2024-10-11T00:40:00Z</dcterms:modified>
</cp:coreProperties>
</file>